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BD682" w14:textId="634A5622" w:rsidR="005157A2" w:rsidRDefault="00623E52" w:rsidP="005157A2">
      <w:pPr>
        <w:pStyle w:val="Heading2"/>
        <w:jc w:val="right"/>
      </w:pPr>
      <w:r>
        <w:rPr>
          <w:sz w:val="22"/>
          <w:szCs w:val="22"/>
        </w:rPr>
        <w:t xml:space="preserve"> </w:t>
      </w:r>
      <w:r w:rsidR="005157A2">
        <w:rPr>
          <w:sz w:val="22"/>
          <w:szCs w:val="22"/>
        </w:rPr>
        <w:t xml:space="preserve">1.pielikums </w:t>
      </w:r>
      <w:r w:rsidR="005157A2">
        <w:t xml:space="preserve">Pieteikumam </w:t>
      </w:r>
    </w:p>
    <w:p w14:paraId="3181366F" w14:textId="77777777" w:rsidR="005157A2" w:rsidRDefault="005157A2" w:rsidP="005157A2">
      <w:pPr>
        <w:spacing w:after="0" w:line="240" w:lineRule="auto"/>
        <w:rPr>
          <w:rFonts w:ascii="Times New Roman" w:eastAsia="Times New Roman" w:hAnsi="Times New Roman"/>
          <w:sz w:val="16"/>
          <w:szCs w:val="16"/>
        </w:rPr>
      </w:pPr>
    </w:p>
    <w:p w14:paraId="451207E1" w14:textId="77777777" w:rsidR="005157A2" w:rsidRDefault="005157A2" w:rsidP="005157A2">
      <w:pPr>
        <w:spacing w:after="0" w:line="240" w:lineRule="auto"/>
        <w:jc w:val="center"/>
        <w:rPr>
          <w:rFonts w:ascii="Times New Roman" w:eastAsia="Times New Roman" w:hAnsi="Times New Roman"/>
          <w:b/>
        </w:rPr>
      </w:pPr>
      <w:r>
        <w:rPr>
          <w:rFonts w:ascii="Times New Roman" w:eastAsia="Times New Roman" w:hAnsi="Times New Roman"/>
          <w:b/>
        </w:rPr>
        <w:t>Apliecinājums</w:t>
      </w:r>
    </w:p>
    <w:p w14:paraId="5FC52E7C" w14:textId="77777777" w:rsidR="005157A2" w:rsidRDefault="005157A2" w:rsidP="005157A2">
      <w:pPr>
        <w:spacing w:after="0" w:line="240" w:lineRule="auto"/>
        <w:jc w:val="center"/>
        <w:rPr>
          <w:rFonts w:ascii="Times New Roman" w:eastAsia="Times New Roman" w:hAnsi="Times New Roman"/>
          <w:b/>
        </w:rPr>
      </w:pPr>
      <w:r>
        <w:rPr>
          <w:rFonts w:ascii="Times New Roman" w:eastAsia="Times New Roman" w:hAnsi="Times New Roman"/>
          <w:b/>
        </w:rPr>
        <w:t>par atbilstību atbalsta saņemšanai</w:t>
      </w:r>
    </w:p>
    <w:p w14:paraId="2A952C88" w14:textId="77777777" w:rsidR="005157A2" w:rsidRDefault="005157A2" w:rsidP="005157A2">
      <w:pPr>
        <w:spacing w:after="0" w:line="240" w:lineRule="auto"/>
        <w:jc w:val="center"/>
        <w:rPr>
          <w:rFonts w:ascii="Times New Roman" w:eastAsia="Times New Roman" w:hAnsi="Times New Roman"/>
          <w:sz w:val="20"/>
          <w:szCs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7201"/>
        <w:gridCol w:w="737"/>
        <w:gridCol w:w="709"/>
        <w:gridCol w:w="709"/>
      </w:tblGrid>
      <w:tr w:rsidR="004C1A91" w14:paraId="5FE490A8" w14:textId="5A5ADE98" w:rsidTr="1B7E3070">
        <w:trPr>
          <w:gridAfter w:val="1"/>
          <w:wAfter w:w="709" w:type="dxa"/>
          <w:trHeight w:val="227"/>
        </w:trPr>
        <w:tc>
          <w:tcPr>
            <w:tcW w:w="562"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37DA1CF2" w14:textId="77777777" w:rsidR="004C1A91" w:rsidRDefault="004C1A91" w:rsidP="00FF158E">
            <w:pPr>
              <w:widowControl w:val="0"/>
              <w:pBdr>
                <w:top w:val="nil"/>
                <w:left w:val="nil"/>
                <w:bottom w:val="nil"/>
                <w:right w:val="nil"/>
                <w:between w:val="nil"/>
              </w:pBdr>
              <w:spacing w:after="0"/>
              <w:rPr>
                <w:rFonts w:ascii="Times New Roman" w:eastAsia="Times New Roman" w:hAnsi="Times New Roman"/>
                <w:sz w:val="20"/>
                <w:szCs w:val="20"/>
              </w:rPr>
            </w:pPr>
            <w:r>
              <w:rPr>
                <w:rFonts w:ascii="Times New Roman" w:eastAsia="Times New Roman" w:hAnsi="Times New Roman"/>
                <w:sz w:val="20"/>
                <w:szCs w:val="20"/>
              </w:rPr>
              <w:t>Nr.</w:t>
            </w:r>
          </w:p>
        </w:tc>
        <w:tc>
          <w:tcPr>
            <w:tcW w:w="7201"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45954AF4" w14:textId="77777777" w:rsidR="004C1A91" w:rsidRDefault="004C1A91" w:rsidP="00FF158E">
            <w:pPr>
              <w:widowControl w:val="0"/>
              <w:pBdr>
                <w:top w:val="nil"/>
                <w:left w:val="nil"/>
                <w:bottom w:val="nil"/>
                <w:right w:val="nil"/>
                <w:between w:val="nil"/>
              </w:pBdr>
              <w:spacing w:after="0"/>
              <w:rPr>
                <w:rFonts w:ascii="Times New Roman" w:eastAsia="Times New Roman" w:hAnsi="Times New Roman"/>
                <w:sz w:val="20"/>
                <w:szCs w:val="20"/>
              </w:rPr>
            </w:pPr>
            <w:r>
              <w:rPr>
                <w:rFonts w:ascii="Times New Roman" w:eastAsia="Times New Roman" w:hAnsi="Times New Roman"/>
                <w:sz w:val="20"/>
                <w:szCs w:val="20"/>
              </w:rPr>
              <w:t>Kritērijs</w:t>
            </w:r>
          </w:p>
        </w:tc>
        <w:tc>
          <w:tcPr>
            <w:tcW w:w="1446" w:type="dxa"/>
            <w:gridSpan w:val="2"/>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0B6940B8" w14:textId="77777777" w:rsidR="004C1A91" w:rsidRDefault="004C1A91" w:rsidP="00FF158E">
            <w:pPr>
              <w:spacing w:after="0" w:line="240" w:lineRule="auto"/>
              <w:rPr>
                <w:rFonts w:ascii="Times New Roman" w:eastAsia="Times New Roman" w:hAnsi="Times New Roman"/>
                <w:sz w:val="20"/>
                <w:szCs w:val="20"/>
              </w:rPr>
            </w:pPr>
            <w:r>
              <w:rPr>
                <w:rFonts w:ascii="Times New Roman" w:eastAsia="Times New Roman" w:hAnsi="Times New Roman"/>
                <w:sz w:val="20"/>
                <w:szCs w:val="20"/>
              </w:rPr>
              <w:t>Apliecinājums</w:t>
            </w:r>
          </w:p>
        </w:tc>
      </w:tr>
      <w:tr w:rsidR="004C1A91" w14:paraId="1B6C9803" w14:textId="6DC55259" w:rsidTr="1B7E3070">
        <w:trPr>
          <w:gridAfter w:val="1"/>
          <w:wAfter w:w="709" w:type="dxa"/>
          <w:trHeight w:val="227"/>
        </w:trPr>
        <w:tc>
          <w:tcPr>
            <w:tcW w:w="562" w:type="dxa"/>
            <w:vMerge/>
            <w:vAlign w:val="center"/>
          </w:tcPr>
          <w:p w14:paraId="5E8E779D" w14:textId="77777777" w:rsidR="004C1A91" w:rsidRDefault="004C1A91" w:rsidP="00FF158E">
            <w:pPr>
              <w:widowControl w:val="0"/>
              <w:pBdr>
                <w:top w:val="nil"/>
                <w:left w:val="nil"/>
                <w:bottom w:val="nil"/>
                <w:right w:val="nil"/>
                <w:between w:val="nil"/>
              </w:pBdr>
              <w:spacing w:after="0"/>
              <w:rPr>
                <w:rFonts w:ascii="Times New Roman" w:eastAsia="Times New Roman" w:hAnsi="Times New Roman"/>
                <w:sz w:val="20"/>
                <w:szCs w:val="20"/>
              </w:rPr>
            </w:pPr>
          </w:p>
        </w:tc>
        <w:tc>
          <w:tcPr>
            <w:tcW w:w="7201" w:type="dxa"/>
            <w:vMerge/>
            <w:vAlign w:val="center"/>
          </w:tcPr>
          <w:p w14:paraId="1A8FA22C" w14:textId="77777777" w:rsidR="004C1A91" w:rsidRDefault="004C1A91" w:rsidP="00FF158E">
            <w:pPr>
              <w:widowControl w:val="0"/>
              <w:pBdr>
                <w:top w:val="nil"/>
                <w:left w:val="nil"/>
                <w:bottom w:val="nil"/>
                <w:right w:val="nil"/>
                <w:between w:val="nil"/>
              </w:pBdr>
              <w:spacing w:after="0"/>
              <w:rPr>
                <w:rFonts w:ascii="Times New Roman" w:eastAsia="Times New Roman" w:hAnsi="Times New Roman"/>
                <w:sz w:val="20"/>
                <w:szCs w:val="20"/>
              </w:rPr>
            </w:pPr>
          </w:p>
        </w:tc>
        <w:tc>
          <w:tcPr>
            <w:tcW w:w="737"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134D2730" w14:textId="77777777" w:rsidR="004C1A91" w:rsidRDefault="004C1A91" w:rsidP="00FF158E">
            <w:pPr>
              <w:spacing w:after="0" w:line="240" w:lineRule="auto"/>
              <w:rPr>
                <w:rFonts w:ascii="Times New Roman" w:eastAsia="Times New Roman" w:hAnsi="Times New Roman"/>
                <w:sz w:val="20"/>
                <w:szCs w:val="20"/>
              </w:rPr>
            </w:pPr>
            <w:r>
              <w:rPr>
                <w:rFonts w:ascii="Times New Roman" w:eastAsia="Times New Roman" w:hAnsi="Times New Roman"/>
                <w:sz w:val="20"/>
                <w:szCs w:val="20"/>
              </w:rPr>
              <w:t>jā</w:t>
            </w:r>
          </w:p>
        </w:tc>
        <w:tc>
          <w:tcPr>
            <w:tcW w:w="709"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11E50E91" w14:textId="77777777" w:rsidR="004C1A91" w:rsidRDefault="004C1A91" w:rsidP="00FF158E">
            <w:pPr>
              <w:spacing w:after="0" w:line="240" w:lineRule="auto"/>
              <w:rPr>
                <w:rFonts w:ascii="Times New Roman" w:eastAsia="Times New Roman" w:hAnsi="Times New Roman"/>
                <w:sz w:val="20"/>
                <w:szCs w:val="20"/>
              </w:rPr>
            </w:pPr>
            <w:r>
              <w:rPr>
                <w:rFonts w:ascii="Times New Roman" w:eastAsia="Times New Roman" w:hAnsi="Times New Roman"/>
                <w:sz w:val="20"/>
                <w:szCs w:val="20"/>
              </w:rPr>
              <w:t>nē</w:t>
            </w:r>
          </w:p>
        </w:tc>
      </w:tr>
      <w:tr w:rsidR="004C1A91" w14:paraId="04FA669E" w14:textId="63DD6855" w:rsidTr="1B7E3070">
        <w:trPr>
          <w:gridAfter w:val="1"/>
          <w:wAfter w:w="709" w:type="dxa"/>
        </w:trPr>
        <w:tc>
          <w:tcPr>
            <w:tcW w:w="562" w:type="dxa"/>
            <w:tcBorders>
              <w:top w:val="single" w:sz="4" w:space="0" w:color="000000" w:themeColor="text1"/>
              <w:bottom w:val="single" w:sz="4" w:space="0" w:color="000000" w:themeColor="text1"/>
            </w:tcBorders>
            <w:shd w:val="clear" w:color="auto" w:fill="auto"/>
            <w:vAlign w:val="center"/>
          </w:tcPr>
          <w:p w14:paraId="30105B92" w14:textId="77777777" w:rsidR="004C1A91" w:rsidRDefault="004C1A91" w:rsidP="00FF15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7201" w:type="dxa"/>
            <w:tcBorders>
              <w:right w:val="single" w:sz="4" w:space="0" w:color="000000" w:themeColor="text1"/>
            </w:tcBorders>
            <w:shd w:val="clear" w:color="auto" w:fill="auto"/>
          </w:tcPr>
          <w:p w14:paraId="7E95B784" w14:textId="6F9DA8D9" w:rsidR="004C1A91" w:rsidRDefault="004C1A91" w:rsidP="00FF158E">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Pretendents </w:t>
            </w:r>
            <w:r>
              <w:rPr>
                <w:rFonts w:ascii="Times New Roman" w:eastAsia="Times New Roman" w:hAnsi="Times New Roman"/>
                <w:i/>
                <w:sz w:val="20"/>
                <w:szCs w:val="20"/>
              </w:rPr>
              <w:t>de minimis</w:t>
            </w:r>
            <w:r>
              <w:rPr>
                <w:rFonts w:ascii="Times New Roman" w:eastAsia="Times New Roman" w:hAnsi="Times New Roman"/>
                <w:sz w:val="20"/>
                <w:szCs w:val="20"/>
              </w:rPr>
              <w:t xml:space="preserve"> atbalsta uzskaites sistēmā (VID elektroniskajā datu bāzē EDS) ir aizpildījis veidlapu par sniedzamo informāciju </w:t>
            </w:r>
            <w:r>
              <w:rPr>
                <w:rFonts w:ascii="Times New Roman" w:eastAsia="Times New Roman" w:hAnsi="Times New Roman"/>
                <w:i/>
                <w:sz w:val="20"/>
                <w:szCs w:val="20"/>
              </w:rPr>
              <w:t>de minimis</w:t>
            </w:r>
            <w:r>
              <w:rPr>
                <w:rFonts w:ascii="Times New Roman" w:eastAsia="Times New Roman" w:hAnsi="Times New Roman"/>
                <w:sz w:val="20"/>
                <w:szCs w:val="20"/>
              </w:rPr>
              <w:t xml:space="preserve"> atbalsta uzskaitei un piešķiršanai</w:t>
            </w:r>
            <w:r>
              <w:rPr>
                <w:vertAlign w:val="superscript"/>
              </w:rPr>
              <w:footnoteReference w:id="2"/>
            </w:r>
            <w:r>
              <w:rPr>
                <w:rFonts w:ascii="Times New Roman" w:eastAsia="Times New Roman" w:hAnsi="Times New Roman"/>
                <w:sz w:val="20"/>
                <w:szCs w:val="20"/>
              </w:rPr>
              <w:t xml:space="preserve">. Sistēmā pretendenta norādītā informācija ir aktuāla, pilnīga un patiesa. Pretendents nekavējoties informēs Aģentūru par jebkurām izmaiņām saistībā ar </w:t>
            </w:r>
            <w:r>
              <w:rPr>
                <w:rFonts w:ascii="Times New Roman" w:eastAsia="Times New Roman" w:hAnsi="Times New Roman"/>
                <w:i/>
                <w:sz w:val="20"/>
                <w:szCs w:val="20"/>
              </w:rPr>
              <w:t>de minimis</w:t>
            </w:r>
            <w:r>
              <w:rPr>
                <w:rFonts w:ascii="Times New Roman" w:eastAsia="Times New Roman" w:hAnsi="Times New Roman"/>
                <w:sz w:val="20"/>
                <w:szCs w:val="20"/>
              </w:rPr>
              <w:t xml:space="preserve"> atbalsta uzskaiti. </w:t>
            </w:r>
          </w:p>
          <w:p w14:paraId="50AE4E18" w14:textId="77777777" w:rsidR="004C1A91" w:rsidRDefault="004C1A91" w:rsidP="00FF158E">
            <w:pPr>
              <w:spacing w:after="0" w:line="240" w:lineRule="auto"/>
              <w:rPr>
                <w:rFonts w:ascii="Times New Roman" w:eastAsia="Times New Roman" w:hAnsi="Times New Roman"/>
                <w:sz w:val="20"/>
                <w:szCs w:val="20"/>
              </w:rPr>
            </w:pPr>
            <w:r>
              <w:rPr>
                <w:rFonts w:ascii="Times New Roman" w:eastAsia="Times New Roman" w:hAnsi="Times New Roman"/>
                <w:b/>
                <w:sz w:val="20"/>
                <w:szCs w:val="20"/>
              </w:rPr>
              <w:t>Šeit jānorāda elektroniski iesniegtās veidlapas kods no sistēmas:</w:t>
            </w:r>
          </w:p>
          <w:tbl>
            <w:tblPr>
              <w:tblW w:w="60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6096"/>
            </w:tblGrid>
            <w:tr w:rsidR="004C1A91" w14:paraId="17CFF2E1" w14:textId="77777777" w:rsidTr="00FF158E">
              <w:tc>
                <w:tcPr>
                  <w:tcW w:w="6096" w:type="dxa"/>
                </w:tcPr>
                <w:p w14:paraId="1D3F1331" w14:textId="77777777" w:rsidR="004C1A91" w:rsidRDefault="004C1A91" w:rsidP="00FF158E">
                  <w:pPr>
                    <w:spacing w:after="0"/>
                    <w:jc w:val="center"/>
                    <w:rPr>
                      <w:rFonts w:ascii="Times New Roman" w:eastAsia="Times New Roman" w:hAnsi="Times New Roman"/>
                      <w:sz w:val="32"/>
                      <w:szCs w:val="32"/>
                    </w:rPr>
                  </w:pPr>
                </w:p>
              </w:tc>
            </w:tr>
          </w:tbl>
          <w:p w14:paraId="1FA55E6F" w14:textId="77777777" w:rsidR="004C1A91" w:rsidRDefault="004C1A91" w:rsidP="00FF158E">
            <w:pPr>
              <w:spacing w:after="0" w:line="240" w:lineRule="auto"/>
              <w:rPr>
                <w:rFonts w:ascii="Times New Roman" w:eastAsia="Times New Roman" w:hAnsi="Times New Roman"/>
                <w:sz w:val="20"/>
                <w:szCs w:val="20"/>
              </w:rPr>
            </w:pPr>
          </w:p>
        </w:tc>
        <w:tc>
          <w:tcPr>
            <w:tcW w:w="737" w:type="dxa"/>
            <w:tcBorders>
              <w:left w:val="single" w:sz="4" w:space="0" w:color="000000" w:themeColor="text1"/>
              <w:right w:val="single" w:sz="4" w:space="0" w:color="000000" w:themeColor="text1"/>
            </w:tcBorders>
            <w:shd w:val="clear" w:color="auto" w:fill="auto"/>
            <w:vAlign w:val="center"/>
          </w:tcPr>
          <w:p w14:paraId="262480BF" w14:textId="77777777" w:rsidR="004C1A91" w:rsidRDefault="004C1A91" w:rsidP="00FF158E">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c>
          <w:tcPr>
            <w:tcW w:w="709" w:type="dxa"/>
            <w:tcBorders>
              <w:left w:val="single" w:sz="4" w:space="0" w:color="000000" w:themeColor="text1"/>
              <w:right w:val="single" w:sz="4" w:space="0" w:color="000000" w:themeColor="text1"/>
            </w:tcBorders>
            <w:shd w:val="clear" w:color="auto" w:fill="auto"/>
            <w:vAlign w:val="center"/>
          </w:tcPr>
          <w:p w14:paraId="616BF09B" w14:textId="77777777" w:rsidR="004C1A91" w:rsidRDefault="004C1A91" w:rsidP="00FF158E">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r>
      <w:tr w:rsidR="004C1A91" w14:paraId="2A763654" w14:textId="36A9E6C4" w:rsidTr="1B7E3070">
        <w:trPr>
          <w:gridAfter w:val="1"/>
          <w:wAfter w:w="709" w:type="dxa"/>
        </w:trPr>
        <w:tc>
          <w:tcPr>
            <w:tcW w:w="562" w:type="dxa"/>
            <w:shd w:val="clear" w:color="auto" w:fill="auto"/>
            <w:vAlign w:val="center"/>
          </w:tcPr>
          <w:p w14:paraId="153F7BFD" w14:textId="77777777" w:rsidR="004C1A91" w:rsidRDefault="004C1A91" w:rsidP="00FF15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201" w:type="dxa"/>
            <w:tcBorders>
              <w:right w:val="single" w:sz="4" w:space="0" w:color="000000" w:themeColor="text1"/>
            </w:tcBorders>
            <w:shd w:val="clear" w:color="auto" w:fill="auto"/>
          </w:tcPr>
          <w:p w14:paraId="3F84626A" w14:textId="77777777" w:rsidR="004C1A91" w:rsidRDefault="004C1A91" w:rsidP="00FF158E">
            <w:pPr>
              <w:spacing w:after="0" w:line="240" w:lineRule="auto"/>
              <w:rPr>
                <w:rFonts w:ascii="Times New Roman" w:eastAsia="Times New Roman" w:hAnsi="Times New Roman"/>
                <w:sz w:val="20"/>
                <w:szCs w:val="20"/>
              </w:rPr>
            </w:pPr>
            <w:r>
              <w:rPr>
                <w:rFonts w:ascii="Times New Roman" w:eastAsia="Times New Roman" w:hAnsi="Times New Roman"/>
                <w:sz w:val="20"/>
                <w:szCs w:val="20"/>
              </w:rPr>
              <w:t>Pretendents apliecina, ka:</w:t>
            </w:r>
          </w:p>
          <w:p w14:paraId="54C05D9D" w14:textId="77777777" w:rsidR="004C1A91" w:rsidRDefault="004C1A91" w:rsidP="005157A2">
            <w:pPr>
              <w:numPr>
                <w:ilvl w:val="0"/>
                <w:numId w:val="3"/>
              </w:numPr>
              <w:pBdr>
                <w:top w:val="nil"/>
                <w:left w:val="nil"/>
                <w:bottom w:val="nil"/>
                <w:right w:val="nil"/>
                <w:between w:val="nil"/>
              </w:pBd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tam ar tiesas spriedumu nav pasludināts maksātnespējas process;</w:t>
            </w:r>
          </w:p>
          <w:p w14:paraId="72D43975" w14:textId="77777777" w:rsidR="004C1A91" w:rsidRDefault="004C1A91" w:rsidP="005157A2">
            <w:pPr>
              <w:numPr>
                <w:ilvl w:val="0"/>
                <w:numId w:val="3"/>
              </w:numPr>
              <w:pBdr>
                <w:top w:val="nil"/>
                <w:left w:val="nil"/>
                <w:bottom w:val="nil"/>
                <w:right w:val="nil"/>
                <w:between w:val="nil"/>
              </w:pBd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tam ar tiesas spriedumu netiek īstenots tiesiskās aizsardzības process vai ar tiesas lēmumu netiek īstenots ārpustiesas tiesiskās aizsardzības process;</w:t>
            </w:r>
          </w:p>
          <w:p w14:paraId="52AD2D25" w14:textId="77777777" w:rsidR="004C1A91" w:rsidRDefault="004C1A91" w:rsidP="005B7030">
            <w:pPr>
              <w:numPr>
                <w:ilvl w:val="0"/>
                <w:numId w:val="3"/>
              </w:numPr>
              <w:pBdr>
                <w:top w:val="nil"/>
                <w:left w:val="nil"/>
                <w:bottom w:val="nil"/>
                <w:right w:val="nil"/>
                <w:between w:val="nil"/>
              </w:pBd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tā saimnieciskā darbība nav izbeigta.</w:t>
            </w:r>
          </w:p>
          <w:p w14:paraId="58A9D728" w14:textId="77777777" w:rsidR="004C1A91" w:rsidRDefault="004C1A91" w:rsidP="00FF158E">
            <w:pPr>
              <w:spacing w:after="0" w:line="240" w:lineRule="auto"/>
              <w:rPr>
                <w:rFonts w:ascii="Times New Roman" w:eastAsia="Times New Roman" w:hAnsi="Times New Roman"/>
                <w:i/>
                <w:sz w:val="20"/>
                <w:szCs w:val="20"/>
              </w:rPr>
            </w:pPr>
            <w:r>
              <w:rPr>
                <w:rFonts w:ascii="Times New Roman" w:eastAsia="Times New Roman" w:hAnsi="Times New Roman"/>
                <w:i/>
                <w:sz w:val="20"/>
                <w:szCs w:val="20"/>
              </w:rPr>
              <w:t>(Pretendents norāda “jā”, ja tā stāvoklis atbilst visiem šajā punktā norādītajiem gadījumiem.)</w:t>
            </w:r>
          </w:p>
        </w:tc>
        <w:tc>
          <w:tcPr>
            <w:tcW w:w="737" w:type="dxa"/>
            <w:tcBorders>
              <w:left w:val="single" w:sz="4" w:space="0" w:color="000000" w:themeColor="text1"/>
              <w:right w:val="single" w:sz="4" w:space="0" w:color="000000" w:themeColor="text1"/>
            </w:tcBorders>
            <w:shd w:val="clear" w:color="auto" w:fill="auto"/>
            <w:vAlign w:val="center"/>
          </w:tcPr>
          <w:p w14:paraId="06AFF6E5" w14:textId="77777777" w:rsidR="004C1A91" w:rsidRDefault="004C1A91" w:rsidP="00FF158E">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c>
          <w:tcPr>
            <w:tcW w:w="709" w:type="dxa"/>
            <w:tcBorders>
              <w:left w:val="single" w:sz="4" w:space="0" w:color="000000" w:themeColor="text1"/>
              <w:right w:val="single" w:sz="4" w:space="0" w:color="000000" w:themeColor="text1"/>
            </w:tcBorders>
            <w:shd w:val="clear" w:color="auto" w:fill="auto"/>
            <w:vAlign w:val="center"/>
          </w:tcPr>
          <w:p w14:paraId="279F6F1B" w14:textId="77777777" w:rsidR="004C1A91" w:rsidRDefault="004C1A91" w:rsidP="00FF158E">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r>
      <w:tr w:rsidR="004C1A91" w14:paraId="60DA3495" w14:textId="3153EB13" w:rsidTr="1B7E3070">
        <w:trPr>
          <w:gridAfter w:val="1"/>
          <w:wAfter w:w="709" w:type="dxa"/>
        </w:trPr>
        <w:tc>
          <w:tcPr>
            <w:tcW w:w="562" w:type="dxa"/>
            <w:shd w:val="clear" w:color="auto" w:fill="auto"/>
            <w:vAlign w:val="center"/>
          </w:tcPr>
          <w:p w14:paraId="140EEDFD" w14:textId="77777777" w:rsidR="004C1A91" w:rsidRDefault="004C1A91" w:rsidP="005B703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7201" w:type="dxa"/>
            <w:tcBorders>
              <w:right w:val="single" w:sz="4" w:space="0" w:color="000000" w:themeColor="text1"/>
            </w:tcBorders>
            <w:shd w:val="clear" w:color="auto" w:fill="auto"/>
          </w:tcPr>
          <w:p w14:paraId="1BCCC29A" w14:textId="688C46D0" w:rsidR="004C1A91" w:rsidRDefault="004C1A91" w:rsidP="005B7030">
            <w:pPr>
              <w:spacing w:after="0" w:line="240" w:lineRule="auto"/>
              <w:rPr>
                <w:rFonts w:ascii="Times New Roman" w:eastAsia="Times New Roman" w:hAnsi="Times New Roman"/>
                <w:sz w:val="20"/>
                <w:szCs w:val="20"/>
              </w:rPr>
            </w:pPr>
            <w:r w:rsidRPr="005BB7C5">
              <w:rPr>
                <w:rFonts w:ascii="Times New Roman" w:eastAsia="Times New Roman" w:hAnsi="Times New Roman"/>
                <w:sz w:val="20"/>
                <w:szCs w:val="20"/>
              </w:rPr>
              <w:t>Pretendents apliecina, ka ar tādu kompetentas institūcijas lēmumu vai tiesas spriedumu, kas stājies spēkā un kļuvis neapstrīdams un nepārsūdzams, nav atzīts par vainīgu pārkāpumā, kas izpaužas kā vienas vai vairāku tādu personu (līdz piecām personām) nodarbināšanu, kuras nav tiesīgas uzturēties Latvijas Republikā vai nav sodīts par Krimināllikuma 280. pantā minētā noziedzīgā nodarījuma izdarīšanu un tam nav piemēroti piespiedu ietekmēšanas līdzekļi par minētā noziedzīgā nodarījuma izdarīšanu</w:t>
            </w:r>
          </w:p>
        </w:tc>
        <w:tc>
          <w:tcPr>
            <w:tcW w:w="737" w:type="dxa"/>
            <w:tcBorders>
              <w:left w:val="single" w:sz="4" w:space="0" w:color="000000" w:themeColor="text1"/>
              <w:right w:val="single" w:sz="4" w:space="0" w:color="000000" w:themeColor="text1"/>
            </w:tcBorders>
            <w:shd w:val="clear" w:color="auto" w:fill="auto"/>
            <w:vAlign w:val="center"/>
          </w:tcPr>
          <w:p w14:paraId="1952508F"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c>
          <w:tcPr>
            <w:tcW w:w="709" w:type="dxa"/>
            <w:tcBorders>
              <w:left w:val="single" w:sz="4" w:space="0" w:color="000000" w:themeColor="text1"/>
              <w:right w:val="single" w:sz="4" w:space="0" w:color="000000" w:themeColor="text1"/>
            </w:tcBorders>
            <w:shd w:val="clear" w:color="auto" w:fill="auto"/>
            <w:vAlign w:val="center"/>
          </w:tcPr>
          <w:p w14:paraId="05E943C9"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r>
      <w:tr w:rsidR="004C1A91" w14:paraId="0C3E51BC" w14:textId="488059A3" w:rsidTr="1B7E3070">
        <w:trPr>
          <w:gridAfter w:val="1"/>
          <w:wAfter w:w="709" w:type="dxa"/>
        </w:trPr>
        <w:tc>
          <w:tcPr>
            <w:tcW w:w="562" w:type="dxa"/>
            <w:shd w:val="clear" w:color="auto" w:fill="auto"/>
            <w:vAlign w:val="center"/>
          </w:tcPr>
          <w:p w14:paraId="2E202BAB" w14:textId="77777777" w:rsidR="004C1A91" w:rsidRDefault="004C1A91" w:rsidP="005B703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7201" w:type="dxa"/>
            <w:tcBorders>
              <w:right w:val="single" w:sz="4" w:space="0" w:color="000000" w:themeColor="text1"/>
            </w:tcBorders>
            <w:shd w:val="clear" w:color="auto" w:fill="auto"/>
          </w:tcPr>
          <w:p w14:paraId="23381C69" w14:textId="0E636D45" w:rsidR="004C1A91" w:rsidRDefault="004C1A91" w:rsidP="005B7030">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Pretendentam nav nodokļu vai nodevu parādu, tai skaitā valsts sociālās apdrošināšanas obligāto iemaksu parādu, kas kopsummā pārsniedz </w:t>
            </w:r>
            <w:r w:rsidR="2F2190B8" w:rsidRPr="3C6E2CF6">
              <w:rPr>
                <w:rFonts w:ascii="Times New Roman" w:eastAsia="Times New Roman" w:hAnsi="Times New Roman"/>
                <w:sz w:val="20"/>
                <w:szCs w:val="20"/>
              </w:rPr>
              <w:t>1000</w:t>
            </w:r>
            <w:r>
              <w:rPr>
                <w:rFonts w:ascii="Times New Roman" w:eastAsia="Times New Roman" w:hAnsi="Times New Roman"/>
                <w:sz w:val="20"/>
                <w:szCs w:val="20"/>
              </w:rPr>
              <w:t xml:space="preserve">,00 </w:t>
            </w:r>
            <w:r>
              <w:rPr>
                <w:rFonts w:ascii="Times New Roman" w:eastAsia="Times New Roman" w:hAnsi="Times New Roman"/>
                <w:i/>
                <w:sz w:val="20"/>
                <w:szCs w:val="20"/>
              </w:rPr>
              <w:t>euro</w:t>
            </w:r>
            <w:r>
              <w:rPr>
                <w:rFonts w:ascii="Times New Roman" w:eastAsia="Times New Roman" w:hAnsi="Times New Roman"/>
                <w:sz w:val="20"/>
                <w:szCs w:val="20"/>
              </w:rPr>
              <w:t>.</w:t>
            </w:r>
          </w:p>
        </w:tc>
        <w:tc>
          <w:tcPr>
            <w:tcW w:w="737" w:type="dxa"/>
            <w:tcBorders>
              <w:left w:val="single" w:sz="4" w:space="0" w:color="000000" w:themeColor="text1"/>
              <w:right w:val="single" w:sz="4" w:space="0" w:color="000000" w:themeColor="text1"/>
            </w:tcBorders>
            <w:shd w:val="clear" w:color="auto" w:fill="auto"/>
            <w:vAlign w:val="center"/>
          </w:tcPr>
          <w:p w14:paraId="3AA6A117"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c>
          <w:tcPr>
            <w:tcW w:w="709" w:type="dxa"/>
            <w:tcBorders>
              <w:left w:val="single" w:sz="4" w:space="0" w:color="000000" w:themeColor="text1"/>
              <w:right w:val="single" w:sz="4" w:space="0" w:color="000000" w:themeColor="text1"/>
            </w:tcBorders>
            <w:shd w:val="clear" w:color="auto" w:fill="auto"/>
            <w:vAlign w:val="center"/>
          </w:tcPr>
          <w:p w14:paraId="257ECAFF"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r>
      <w:tr w:rsidR="004C1A91" w14:paraId="419951D6" w14:textId="13543125" w:rsidTr="1B7E3070">
        <w:trPr>
          <w:gridAfter w:val="1"/>
          <w:wAfter w:w="709" w:type="dxa"/>
        </w:trPr>
        <w:tc>
          <w:tcPr>
            <w:tcW w:w="562" w:type="dxa"/>
            <w:shd w:val="clear" w:color="auto" w:fill="auto"/>
            <w:vAlign w:val="center"/>
          </w:tcPr>
          <w:p w14:paraId="4DD25C82" w14:textId="77777777" w:rsidR="004C1A91" w:rsidRDefault="004C1A91" w:rsidP="005B703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7201" w:type="dxa"/>
            <w:tcBorders>
              <w:right w:val="single" w:sz="4" w:space="0" w:color="000000" w:themeColor="text1"/>
            </w:tcBorders>
            <w:shd w:val="clear" w:color="auto" w:fill="auto"/>
          </w:tcPr>
          <w:p w14:paraId="1A33BE72" w14:textId="77777777" w:rsidR="004C1A91" w:rsidRDefault="004C1A91" w:rsidP="005B7030">
            <w:pPr>
              <w:spacing w:after="0" w:line="240" w:lineRule="auto"/>
              <w:rPr>
                <w:rFonts w:ascii="Times New Roman" w:eastAsia="Times New Roman" w:hAnsi="Times New Roman"/>
                <w:i/>
                <w:sz w:val="20"/>
                <w:szCs w:val="20"/>
              </w:rPr>
            </w:pPr>
            <w:r w:rsidRPr="00C40E14">
              <w:rPr>
                <w:rFonts w:ascii="Times New Roman" w:eastAsia="Times New Roman" w:hAnsi="Times New Roman"/>
                <w:sz w:val="20"/>
                <w:szCs w:val="20"/>
              </w:rPr>
              <w:t xml:space="preserve">Pretendentam </w:t>
            </w:r>
            <w:r w:rsidRPr="005157A2">
              <w:rPr>
                <w:rFonts w:ascii="Times New Roman" w:eastAsia="Times New Roman" w:hAnsi="Times New Roman"/>
                <w:sz w:val="20"/>
                <w:szCs w:val="20"/>
              </w:rPr>
              <w:t>nav noteiktas starptautiskās vai nacionālās sankcijas vai būtiskas finanšu un kapitāla tirgus intereses ietekmējošas Eiropas Savienības vai Ziemeļatlantijas līguma organizācijas dalībvalsts noteiktās sankcijas.</w:t>
            </w:r>
          </w:p>
        </w:tc>
        <w:tc>
          <w:tcPr>
            <w:tcW w:w="737" w:type="dxa"/>
            <w:tcBorders>
              <w:left w:val="single" w:sz="4" w:space="0" w:color="000000" w:themeColor="text1"/>
              <w:right w:val="single" w:sz="4" w:space="0" w:color="000000" w:themeColor="text1"/>
            </w:tcBorders>
            <w:shd w:val="clear" w:color="auto" w:fill="auto"/>
            <w:vAlign w:val="center"/>
          </w:tcPr>
          <w:p w14:paraId="4E1DDF60" w14:textId="77777777" w:rsidR="004C1A91" w:rsidRDefault="00353FB6" w:rsidP="005B7030">
            <w:pPr>
              <w:spacing w:after="0" w:line="240" w:lineRule="auto"/>
              <w:rPr>
                <w:rFonts w:ascii="Times New Roman" w:eastAsia="Times New Roman" w:hAnsi="Times New Roman"/>
                <w:sz w:val="20"/>
                <w:szCs w:val="20"/>
              </w:rPr>
            </w:pPr>
            <w:sdt>
              <w:sdtPr>
                <w:rPr>
                  <w:rFonts w:ascii="Times New Roman" w:hAnsi="Times New Roman"/>
                  <w:sz w:val="20"/>
                  <w:szCs w:val="20"/>
                </w:rPr>
                <w:id w:val="-1795979051"/>
                <w14:checkbox>
                  <w14:checked w14:val="0"/>
                  <w14:checkedState w14:val="2612" w14:font="MS Gothic"/>
                  <w14:uncheckedState w14:val="2610" w14:font="MS Gothic"/>
                </w14:checkbox>
              </w:sdtPr>
              <w:sdtEndPr/>
              <w:sdtContent>
                <w:r w:rsidR="004C1A91" w:rsidRPr="005951C8">
                  <w:rPr>
                    <w:rFonts w:ascii="Segoe UI Symbol" w:hAnsi="Segoe UI Symbol" w:cs="Segoe UI Symbol"/>
                    <w:sz w:val="20"/>
                    <w:szCs w:val="20"/>
                  </w:rPr>
                  <w:t>☐</w:t>
                </w:r>
              </w:sdtContent>
            </w:sdt>
          </w:p>
        </w:tc>
        <w:tc>
          <w:tcPr>
            <w:tcW w:w="709" w:type="dxa"/>
            <w:tcBorders>
              <w:left w:val="single" w:sz="4" w:space="0" w:color="000000" w:themeColor="text1"/>
              <w:right w:val="single" w:sz="4" w:space="0" w:color="000000" w:themeColor="text1"/>
            </w:tcBorders>
            <w:shd w:val="clear" w:color="auto" w:fill="auto"/>
            <w:vAlign w:val="center"/>
          </w:tcPr>
          <w:p w14:paraId="6B0F360C" w14:textId="77777777" w:rsidR="004C1A91" w:rsidRDefault="00353FB6" w:rsidP="005B7030">
            <w:pPr>
              <w:spacing w:after="0" w:line="240" w:lineRule="auto"/>
              <w:rPr>
                <w:rFonts w:ascii="Times New Roman" w:eastAsia="Times New Roman" w:hAnsi="Times New Roman"/>
                <w:sz w:val="20"/>
                <w:szCs w:val="20"/>
              </w:rPr>
            </w:pPr>
            <w:sdt>
              <w:sdtPr>
                <w:rPr>
                  <w:rFonts w:ascii="Times New Roman" w:hAnsi="Times New Roman"/>
                  <w:sz w:val="20"/>
                  <w:szCs w:val="20"/>
                </w:rPr>
                <w:id w:val="-1153373126"/>
                <w14:checkbox>
                  <w14:checked w14:val="0"/>
                  <w14:checkedState w14:val="2612" w14:font="MS Gothic"/>
                  <w14:uncheckedState w14:val="2610" w14:font="MS Gothic"/>
                </w14:checkbox>
              </w:sdtPr>
              <w:sdtEndPr/>
              <w:sdtContent>
                <w:r w:rsidR="004C1A91" w:rsidRPr="005951C8">
                  <w:rPr>
                    <w:rFonts w:ascii="Segoe UI Symbol" w:hAnsi="Segoe UI Symbol" w:cs="Segoe UI Symbol"/>
                    <w:sz w:val="20"/>
                    <w:szCs w:val="20"/>
                  </w:rPr>
                  <w:t>☐</w:t>
                </w:r>
              </w:sdtContent>
            </w:sdt>
          </w:p>
        </w:tc>
      </w:tr>
      <w:tr w:rsidR="004C1A91" w14:paraId="7353F48F" w14:textId="09C20E41" w:rsidTr="1B7E3070">
        <w:trPr>
          <w:gridAfter w:val="1"/>
          <w:wAfter w:w="709" w:type="dxa"/>
        </w:trPr>
        <w:tc>
          <w:tcPr>
            <w:tcW w:w="562" w:type="dxa"/>
            <w:shd w:val="clear" w:color="auto" w:fill="auto"/>
            <w:vAlign w:val="center"/>
          </w:tcPr>
          <w:p w14:paraId="31E552BD" w14:textId="77777777" w:rsidR="004C1A91" w:rsidRDefault="004C1A91" w:rsidP="005B703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7201" w:type="dxa"/>
            <w:tcBorders>
              <w:right w:val="single" w:sz="4" w:space="0" w:color="000000" w:themeColor="text1"/>
            </w:tcBorders>
            <w:shd w:val="clear" w:color="auto" w:fill="auto"/>
          </w:tcPr>
          <w:p w14:paraId="45A3E7E3" w14:textId="6887688A" w:rsidR="004C1A91" w:rsidRDefault="004C1A91" w:rsidP="005B7030">
            <w:pPr>
              <w:spacing w:after="0" w:line="240" w:lineRule="auto"/>
              <w:rPr>
                <w:rFonts w:ascii="Times New Roman" w:eastAsia="Times New Roman" w:hAnsi="Times New Roman"/>
                <w:sz w:val="20"/>
                <w:szCs w:val="20"/>
              </w:rPr>
            </w:pPr>
            <w:r>
              <w:rPr>
                <w:rFonts w:ascii="Times New Roman" w:eastAsia="Times New Roman" w:hAnsi="Times New Roman"/>
                <w:sz w:val="20"/>
                <w:szCs w:val="20"/>
              </w:rPr>
              <w:t>Pretendents pasākuma ietvaros neparedz saņemt un nesaņems finansējumu par tām pašām attiecināmajām izmaksām, kas vienlaikus tikušas, tiek finansētas vai kuras plānots finansēt no citiem ES, finanšu instrumentu, valsts vai pašvaldības līdzekļiem, t.sk. atbalstu 3.1.2.2. pasākuma “Tehnoloģiju akselerators” ietvaros, kas tiek īstenots ar finanšu institūcijas ALTUM atbalstu un studentu motivācijas grantos.</w:t>
            </w:r>
          </w:p>
        </w:tc>
        <w:tc>
          <w:tcPr>
            <w:tcW w:w="737" w:type="dxa"/>
            <w:tcBorders>
              <w:left w:val="single" w:sz="4" w:space="0" w:color="000000" w:themeColor="text1"/>
              <w:right w:val="single" w:sz="4" w:space="0" w:color="000000" w:themeColor="text1"/>
            </w:tcBorders>
            <w:shd w:val="clear" w:color="auto" w:fill="auto"/>
            <w:vAlign w:val="center"/>
          </w:tcPr>
          <w:p w14:paraId="3C03D764"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c>
          <w:tcPr>
            <w:tcW w:w="709" w:type="dxa"/>
            <w:tcBorders>
              <w:left w:val="single" w:sz="4" w:space="0" w:color="000000" w:themeColor="text1"/>
              <w:right w:val="single" w:sz="4" w:space="0" w:color="000000" w:themeColor="text1"/>
            </w:tcBorders>
            <w:shd w:val="clear" w:color="auto" w:fill="auto"/>
            <w:vAlign w:val="center"/>
          </w:tcPr>
          <w:p w14:paraId="7A6AEEB1"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r>
      <w:tr w:rsidR="004C1A91" w14:paraId="6FA5E4C2" w14:textId="27850576" w:rsidTr="1B7E3070">
        <w:trPr>
          <w:gridAfter w:val="1"/>
          <w:wAfter w:w="709" w:type="dxa"/>
        </w:trPr>
        <w:tc>
          <w:tcPr>
            <w:tcW w:w="562" w:type="dxa"/>
            <w:shd w:val="clear" w:color="auto" w:fill="auto"/>
            <w:vAlign w:val="center"/>
          </w:tcPr>
          <w:p w14:paraId="76DA0051" w14:textId="77777777" w:rsidR="004C1A91" w:rsidRDefault="004C1A91" w:rsidP="005B703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7201" w:type="dxa"/>
            <w:tcBorders>
              <w:right w:val="single" w:sz="4" w:space="0" w:color="000000" w:themeColor="text1"/>
            </w:tcBorders>
            <w:shd w:val="clear" w:color="auto" w:fill="auto"/>
          </w:tcPr>
          <w:p w14:paraId="244B12B2" w14:textId="05683E0C" w:rsidR="004C1A91" w:rsidRDefault="004C1A91" w:rsidP="005B7030">
            <w:pPr>
              <w:spacing w:after="0" w:line="240" w:lineRule="auto"/>
              <w:rPr>
                <w:rFonts w:ascii="Times New Roman" w:eastAsia="Times New Roman" w:hAnsi="Times New Roman"/>
                <w:sz w:val="20"/>
                <w:szCs w:val="20"/>
              </w:rPr>
            </w:pPr>
            <w:r>
              <w:rPr>
                <w:rFonts w:ascii="Times New Roman" w:eastAsia="Times New Roman" w:hAnsi="Times New Roman"/>
                <w:sz w:val="20"/>
                <w:szCs w:val="20"/>
              </w:rPr>
              <w:t>Uz pretendentu neattiecas MK noteikumu Nr.4 2.pielikumā minētie nozaru un darbības ierobežojumi.</w:t>
            </w:r>
          </w:p>
          <w:p w14:paraId="5996E3B7" w14:textId="556B55AC" w:rsidR="004C1A91" w:rsidRPr="004C1A91" w:rsidRDefault="004C1A91" w:rsidP="00F953D1">
            <w:pPr>
              <w:spacing w:after="0" w:line="240" w:lineRule="auto"/>
              <w:rPr>
                <w:rFonts w:ascii="Times New Roman" w:eastAsia="Times New Roman" w:hAnsi="Times New Roman"/>
                <w:bCs/>
                <w:sz w:val="20"/>
                <w:szCs w:val="20"/>
              </w:rPr>
            </w:pPr>
            <w:r w:rsidRPr="004C1A91">
              <w:rPr>
                <w:rFonts w:ascii="Times New Roman" w:eastAsia="Times New Roman" w:hAnsi="Times New Roman"/>
                <w:bCs/>
                <w:sz w:val="20"/>
                <w:szCs w:val="20"/>
              </w:rPr>
              <w:t>Nozares, kurām darbības programmas "Uzņēmējdarbības attīstība, inovācijas un mazie un vidējie uzņēmumi" ietvaros finansējums netiek sniegts</w:t>
            </w:r>
            <w:r>
              <w:rPr>
                <w:rFonts w:ascii="Times New Roman" w:eastAsia="Times New Roman" w:hAnsi="Times New Roman"/>
                <w:bCs/>
                <w:sz w:val="20"/>
                <w:szCs w:val="20"/>
              </w:rPr>
              <w:t xml:space="preserve">: </w:t>
            </w:r>
          </w:p>
          <w:p w14:paraId="0CAACF88" w14:textId="77777777" w:rsidR="004C1A91" w:rsidRPr="00353FB6" w:rsidRDefault="004C1A91" w:rsidP="00F953D1">
            <w:pPr>
              <w:spacing w:after="0" w:line="240" w:lineRule="auto"/>
              <w:rPr>
                <w:rFonts w:ascii="Times New Roman" w:eastAsia="Times New Roman" w:hAnsi="Times New Roman"/>
                <w:i/>
                <w:sz w:val="20"/>
                <w:szCs w:val="20"/>
              </w:rPr>
            </w:pPr>
            <w:bookmarkStart w:id="0" w:name="p1"/>
            <w:bookmarkStart w:id="1" w:name="p-769666"/>
            <w:bookmarkEnd w:id="0"/>
            <w:bookmarkEnd w:id="1"/>
            <w:r w:rsidRPr="00353FB6">
              <w:rPr>
                <w:rFonts w:ascii="Times New Roman" w:eastAsia="Times New Roman" w:hAnsi="Times New Roman"/>
                <w:i/>
                <w:sz w:val="20"/>
                <w:szCs w:val="20"/>
              </w:rPr>
              <w:t>1. Tirdzniecības nozarei – saskaņā ar NACE 2. red. G sadaļu "Vairumtirdzniecība un mazumtirdzniecība; automobiļu un motociklu remonts".</w:t>
            </w:r>
            <w:bookmarkStart w:id="2" w:name="_GoBack"/>
            <w:bookmarkEnd w:id="2"/>
          </w:p>
          <w:p w14:paraId="0FE8450A" w14:textId="77777777" w:rsidR="004C1A91" w:rsidRPr="00353FB6" w:rsidRDefault="004C1A91" w:rsidP="00F953D1">
            <w:pPr>
              <w:spacing w:after="0" w:line="240" w:lineRule="auto"/>
              <w:rPr>
                <w:rFonts w:ascii="Times New Roman" w:eastAsia="Times New Roman" w:hAnsi="Times New Roman"/>
                <w:i/>
                <w:sz w:val="20"/>
                <w:szCs w:val="20"/>
              </w:rPr>
            </w:pPr>
            <w:r w:rsidRPr="00353FB6">
              <w:rPr>
                <w:rFonts w:ascii="Times New Roman" w:eastAsia="Times New Roman" w:hAnsi="Times New Roman"/>
                <w:i/>
                <w:sz w:val="20"/>
                <w:szCs w:val="20"/>
              </w:rPr>
              <w:t>2. Komercpakalpojumu nozarei – saskaņā ar NACE 2. red. L sadaļu "Operācijas ar nekustamo īpašumu" un N sadaļas "Administratīvo un apkalpojošo dienestu darbība" 77. nodaļu "Iznomāšana un ekspluatācijas līzings".</w:t>
            </w:r>
          </w:p>
          <w:p w14:paraId="5CAD3FB0" w14:textId="77777777" w:rsidR="004C1A91" w:rsidRPr="00353FB6" w:rsidRDefault="004C1A91" w:rsidP="00F953D1">
            <w:pPr>
              <w:spacing w:after="0" w:line="240" w:lineRule="auto"/>
              <w:rPr>
                <w:rFonts w:ascii="Times New Roman" w:eastAsia="Times New Roman" w:hAnsi="Times New Roman"/>
                <w:i/>
                <w:sz w:val="20"/>
                <w:szCs w:val="20"/>
              </w:rPr>
            </w:pPr>
            <w:r w:rsidRPr="00353FB6">
              <w:rPr>
                <w:rFonts w:ascii="Times New Roman" w:eastAsia="Times New Roman" w:hAnsi="Times New Roman"/>
                <w:i/>
                <w:sz w:val="20"/>
                <w:szCs w:val="20"/>
              </w:rPr>
              <w:t>3. Azartspēļu nozarei – saskaņā ar NACE 2. red. R sadaļu "Māksla, izklaide un atpūta" 92. nodaļu "Azartspēles un derības".</w:t>
            </w:r>
          </w:p>
          <w:p w14:paraId="7D711F78" w14:textId="77777777" w:rsidR="004C1A91" w:rsidRPr="00353FB6" w:rsidRDefault="004C1A91" w:rsidP="00F953D1">
            <w:pPr>
              <w:spacing w:after="0" w:line="240" w:lineRule="auto"/>
              <w:rPr>
                <w:rFonts w:ascii="Times New Roman" w:eastAsia="Times New Roman" w:hAnsi="Times New Roman"/>
                <w:i/>
                <w:sz w:val="20"/>
                <w:szCs w:val="20"/>
              </w:rPr>
            </w:pPr>
            <w:r w:rsidRPr="00353FB6">
              <w:rPr>
                <w:rFonts w:ascii="Times New Roman" w:eastAsia="Times New Roman" w:hAnsi="Times New Roman"/>
                <w:i/>
                <w:sz w:val="20"/>
                <w:szCs w:val="20"/>
              </w:rPr>
              <w:t>4. Alkoholisko dzērienu ražošanas nozarei – saskaņā ar NACE 2. red. C sadaļas 11. nodaļu "Dzērienu ražošana", izņemot klasi 11.06 "Iesala ražošana" un klasi 11.07 "Bezalkohola dzērienu ražošana; minerālūdeņu un pudelēs iepildītu citu ūdeņu ražošana".</w:t>
            </w:r>
          </w:p>
          <w:p w14:paraId="77D14B4E" w14:textId="77777777" w:rsidR="004C1A91" w:rsidRPr="00353FB6" w:rsidRDefault="004C1A91" w:rsidP="00F953D1">
            <w:pPr>
              <w:spacing w:after="0" w:line="240" w:lineRule="auto"/>
              <w:rPr>
                <w:rFonts w:ascii="Times New Roman" w:eastAsia="Times New Roman" w:hAnsi="Times New Roman"/>
                <w:i/>
                <w:sz w:val="20"/>
                <w:szCs w:val="20"/>
              </w:rPr>
            </w:pPr>
            <w:r w:rsidRPr="00353FB6">
              <w:rPr>
                <w:rFonts w:ascii="Times New Roman" w:eastAsia="Times New Roman" w:hAnsi="Times New Roman"/>
                <w:i/>
                <w:sz w:val="20"/>
                <w:szCs w:val="20"/>
              </w:rPr>
              <w:t>5. Tabakas izstrādājumu ražošanas nozarei – saskaņā ar NACE 2. red. C sadaļas 12. nodaļu "Tabakas izstrādājumu ražošana".</w:t>
            </w:r>
          </w:p>
          <w:p w14:paraId="3342F456" w14:textId="3B0C9796" w:rsidR="004C1A91" w:rsidRPr="00F953D1" w:rsidRDefault="004C1A91" w:rsidP="00F953D1">
            <w:pPr>
              <w:spacing w:after="0" w:line="240" w:lineRule="auto"/>
              <w:rPr>
                <w:rFonts w:ascii="Times New Roman" w:eastAsia="Times New Roman" w:hAnsi="Times New Roman"/>
                <w:sz w:val="20"/>
                <w:szCs w:val="20"/>
              </w:rPr>
            </w:pPr>
            <w:r w:rsidRPr="00F953D1">
              <w:rPr>
                <w:rFonts w:ascii="Times New Roman" w:eastAsia="Times New Roman" w:hAnsi="Times New Roman"/>
                <w:sz w:val="20"/>
                <w:szCs w:val="20"/>
              </w:rPr>
              <w:t>6. Atbalsts, ko sniedz atbilstoši Komisijas regulas Nr.  </w:t>
            </w:r>
            <w:hyperlink r:id="rId11" w:tgtFrame="_blank" w:history="1">
              <w:r w:rsidRPr="00F953D1">
                <w:rPr>
                  <w:rStyle w:val="Hyperlink"/>
                  <w:rFonts w:ascii="Times New Roman" w:eastAsia="Times New Roman" w:hAnsi="Times New Roman"/>
                  <w:sz w:val="20"/>
                  <w:szCs w:val="20"/>
                </w:rPr>
                <w:t>651/2014</w:t>
              </w:r>
            </w:hyperlink>
            <w:r w:rsidRPr="00F953D1">
              <w:rPr>
                <w:rFonts w:ascii="Times New Roman" w:eastAsia="Times New Roman" w:hAnsi="Times New Roman"/>
                <w:sz w:val="20"/>
                <w:szCs w:val="20"/>
              </w:rPr>
              <w:t> nosacījumiem, netiek sniegts</w:t>
            </w:r>
            <w:r>
              <w:rPr>
                <w:rFonts w:ascii="Times New Roman" w:eastAsia="Times New Roman" w:hAnsi="Times New Roman"/>
                <w:sz w:val="20"/>
                <w:szCs w:val="20"/>
              </w:rPr>
              <w:t xml:space="preserve"> pretendentam, ja darbojas</w:t>
            </w:r>
            <w:r w:rsidRPr="00F953D1">
              <w:rPr>
                <w:rFonts w:ascii="Times New Roman" w:eastAsia="Times New Roman" w:hAnsi="Times New Roman"/>
                <w:sz w:val="20"/>
                <w:szCs w:val="20"/>
              </w:rPr>
              <w:t>:</w:t>
            </w:r>
          </w:p>
          <w:p w14:paraId="3ED468C2" w14:textId="3A755493" w:rsidR="004C1A91" w:rsidRDefault="004C1A91" w:rsidP="00DC1B9B">
            <w:pPr>
              <w:numPr>
                <w:ilvl w:val="0"/>
                <w:numId w:val="1"/>
              </w:numPr>
              <w:pBdr>
                <w:top w:val="nil"/>
                <w:left w:val="nil"/>
                <w:bottom w:val="nil"/>
                <w:right w:val="nil"/>
                <w:between w:val="nil"/>
              </w:pBdr>
              <w:spacing w:after="0" w:line="240" w:lineRule="auto"/>
              <w:ind w:left="317" w:hanging="284"/>
              <w:rPr>
                <w:rFonts w:ascii="Times New Roman" w:eastAsia="Times New Roman" w:hAnsi="Times New Roman"/>
                <w:i/>
                <w:color w:val="000000"/>
                <w:sz w:val="20"/>
                <w:szCs w:val="20"/>
              </w:rPr>
            </w:pPr>
            <w:r>
              <w:rPr>
                <w:rFonts w:ascii="Times New Roman" w:eastAsia="Times New Roman" w:hAnsi="Times New Roman"/>
                <w:i/>
                <w:color w:val="000000"/>
                <w:sz w:val="20"/>
                <w:szCs w:val="20"/>
              </w:rPr>
              <w:t>ja darbojas zvejniecības un akvakultūras nozarē, uz ko attiecas Padomes Regula (EK) Nr. 104/2000;</w:t>
            </w:r>
          </w:p>
          <w:p w14:paraId="75C3B044" w14:textId="77777777" w:rsidR="004C1A91" w:rsidRDefault="004C1A91" w:rsidP="00DC1B9B">
            <w:pPr>
              <w:numPr>
                <w:ilvl w:val="0"/>
                <w:numId w:val="1"/>
              </w:numPr>
              <w:pBdr>
                <w:top w:val="nil"/>
                <w:left w:val="nil"/>
                <w:bottom w:val="nil"/>
                <w:right w:val="nil"/>
                <w:between w:val="nil"/>
              </w:pBdr>
              <w:spacing w:after="0" w:line="240" w:lineRule="auto"/>
              <w:ind w:left="317" w:hanging="284"/>
              <w:rPr>
                <w:rFonts w:ascii="Times New Roman" w:eastAsia="Times New Roman" w:hAnsi="Times New Roman"/>
                <w:i/>
                <w:color w:val="000000"/>
                <w:sz w:val="20"/>
                <w:szCs w:val="20"/>
              </w:rPr>
            </w:pPr>
            <w:r>
              <w:rPr>
                <w:rFonts w:ascii="Times New Roman" w:eastAsia="Times New Roman" w:hAnsi="Times New Roman"/>
                <w:i/>
                <w:color w:val="000000"/>
                <w:sz w:val="20"/>
                <w:szCs w:val="20"/>
              </w:rPr>
              <w:t>ja nodarbojas ar lauksaimniecības produktu primāro ražošanu;</w:t>
            </w:r>
          </w:p>
          <w:p w14:paraId="6F4E2014" w14:textId="77777777" w:rsidR="004C1A91" w:rsidRDefault="004C1A91" w:rsidP="00DC1B9B">
            <w:pPr>
              <w:numPr>
                <w:ilvl w:val="0"/>
                <w:numId w:val="1"/>
              </w:numPr>
              <w:pBdr>
                <w:top w:val="nil"/>
                <w:left w:val="nil"/>
                <w:bottom w:val="nil"/>
                <w:right w:val="nil"/>
                <w:between w:val="nil"/>
              </w:pBdr>
              <w:spacing w:after="0" w:line="240" w:lineRule="auto"/>
              <w:ind w:left="317" w:hanging="284"/>
              <w:rPr>
                <w:rFonts w:ascii="Times New Roman" w:eastAsia="Times New Roman" w:hAnsi="Times New Roman"/>
                <w:i/>
                <w:color w:val="000000"/>
                <w:sz w:val="20"/>
                <w:szCs w:val="20"/>
              </w:rPr>
            </w:pPr>
            <w:r>
              <w:rPr>
                <w:rFonts w:ascii="Times New Roman" w:eastAsia="Times New Roman" w:hAnsi="Times New Roman"/>
                <w:i/>
                <w:color w:val="000000"/>
                <w:sz w:val="20"/>
                <w:szCs w:val="20"/>
              </w:rPr>
              <w:t>ja nodarbojas lauksaimniecības produktu pārstrādes un tirdzniecības nozarē, šādos gadījumos:</w:t>
            </w:r>
          </w:p>
          <w:p w14:paraId="23319761" w14:textId="77777777" w:rsidR="004C1A91" w:rsidRDefault="004C1A91" w:rsidP="00DC1B9B">
            <w:pPr>
              <w:numPr>
                <w:ilvl w:val="1"/>
                <w:numId w:val="1"/>
              </w:numPr>
              <w:pBdr>
                <w:top w:val="nil"/>
                <w:left w:val="nil"/>
                <w:bottom w:val="nil"/>
                <w:right w:val="nil"/>
                <w:between w:val="nil"/>
              </w:pBdr>
              <w:spacing w:after="0" w:line="240" w:lineRule="auto"/>
              <w:ind w:left="459" w:hanging="284"/>
              <w:rPr>
                <w:rFonts w:ascii="Times New Roman" w:eastAsia="Times New Roman" w:hAnsi="Times New Roman"/>
                <w:i/>
                <w:color w:val="000000"/>
                <w:sz w:val="20"/>
                <w:szCs w:val="20"/>
              </w:rPr>
            </w:pPr>
            <w:r>
              <w:rPr>
                <w:rFonts w:ascii="Times New Roman" w:eastAsia="Times New Roman" w:hAnsi="Times New Roman"/>
                <w:i/>
                <w:color w:val="000000"/>
                <w:sz w:val="20"/>
                <w:szCs w:val="20"/>
              </w:rPr>
              <w:t>ja atbalsta summa ir noteikta, pamatojoties uz šādu produktu, kurus attiecīgais uzņēmums iepircis no primārajiem ražotājiem vai laidis tirgū, cenu vai daudzumu;</w:t>
            </w:r>
          </w:p>
          <w:p w14:paraId="40891E4F" w14:textId="77777777" w:rsidR="004C1A91" w:rsidRDefault="004C1A91" w:rsidP="00DC1B9B">
            <w:pPr>
              <w:numPr>
                <w:ilvl w:val="1"/>
                <w:numId w:val="1"/>
              </w:numPr>
              <w:pBdr>
                <w:top w:val="nil"/>
                <w:left w:val="nil"/>
                <w:bottom w:val="nil"/>
                <w:right w:val="nil"/>
                <w:between w:val="nil"/>
              </w:pBdr>
              <w:spacing w:after="0" w:line="240" w:lineRule="auto"/>
              <w:ind w:left="459" w:hanging="284"/>
              <w:rPr>
                <w:rFonts w:ascii="Times New Roman" w:eastAsia="Times New Roman" w:hAnsi="Times New Roman"/>
                <w:i/>
                <w:color w:val="000000"/>
                <w:sz w:val="20"/>
                <w:szCs w:val="20"/>
              </w:rPr>
            </w:pPr>
            <w:r>
              <w:rPr>
                <w:rFonts w:ascii="Times New Roman" w:eastAsia="Times New Roman" w:hAnsi="Times New Roman"/>
                <w:i/>
                <w:color w:val="000000"/>
                <w:sz w:val="20"/>
                <w:szCs w:val="20"/>
              </w:rPr>
              <w:t>ja atbalstu piešķir ar nosacījumu, ka to daļēji vai pilnībā nodod primārajiem ražotājiem;</w:t>
            </w:r>
          </w:p>
          <w:p w14:paraId="675C8DC5" w14:textId="77777777" w:rsidR="004C1A91" w:rsidRDefault="004C1A91" w:rsidP="00DC1B9B">
            <w:pPr>
              <w:numPr>
                <w:ilvl w:val="0"/>
                <w:numId w:val="1"/>
              </w:numPr>
              <w:pBdr>
                <w:top w:val="nil"/>
                <w:left w:val="nil"/>
                <w:bottom w:val="nil"/>
                <w:right w:val="nil"/>
                <w:between w:val="nil"/>
              </w:pBdr>
              <w:spacing w:after="0" w:line="240" w:lineRule="auto"/>
              <w:ind w:left="317" w:hanging="284"/>
              <w:rPr>
                <w:rFonts w:ascii="Times New Roman" w:eastAsia="Times New Roman" w:hAnsi="Times New Roman"/>
                <w:i/>
                <w:color w:val="000000"/>
                <w:sz w:val="20"/>
                <w:szCs w:val="20"/>
              </w:rPr>
            </w:pPr>
            <w:r>
              <w:rPr>
                <w:rFonts w:ascii="Times New Roman" w:eastAsia="Times New Roman" w:hAnsi="Times New Roman"/>
                <w:i/>
                <w:color w:val="000000"/>
                <w:sz w:val="20"/>
                <w:szCs w:val="20"/>
              </w:rPr>
              <w:t>darbībām, kas saistītas ar eksportu uz trešām valstīm vai dalībvalstīm, tas ir, atbalstu, kas tieši saistīts ar eksportētajiem daudzumiem, izplatīšanas tīkla izveidi un darbību vai citiem kārtējiem izdevumiem, kas saistīti ar eksporta darbībām;</w:t>
            </w:r>
          </w:p>
          <w:p w14:paraId="64B7ACEF" w14:textId="77777777" w:rsidR="004C1A91" w:rsidRDefault="004C1A91" w:rsidP="00DC1B9B">
            <w:pPr>
              <w:numPr>
                <w:ilvl w:val="0"/>
                <w:numId w:val="1"/>
              </w:numPr>
              <w:pBdr>
                <w:top w:val="nil"/>
                <w:left w:val="nil"/>
                <w:bottom w:val="nil"/>
                <w:right w:val="nil"/>
                <w:between w:val="nil"/>
              </w:pBdr>
              <w:spacing w:after="0" w:line="240" w:lineRule="auto"/>
              <w:ind w:left="317" w:hanging="284"/>
              <w:rPr>
                <w:rFonts w:ascii="Times New Roman" w:eastAsia="Times New Roman" w:hAnsi="Times New Roman"/>
                <w:i/>
                <w:color w:val="000000"/>
                <w:sz w:val="20"/>
                <w:szCs w:val="20"/>
              </w:rPr>
            </w:pPr>
            <w:r>
              <w:rPr>
                <w:rFonts w:ascii="Times New Roman" w:eastAsia="Times New Roman" w:hAnsi="Times New Roman"/>
                <w:i/>
                <w:color w:val="000000"/>
                <w:sz w:val="20"/>
                <w:szCs w:val="20"/>
              </w:rPr>
              <w:t>ja atbalstu piešķir ar nosacījumu, ka importa preču vietā tiek izmantotas vietējās;</w:t>
            </w:r>
          </w:p>
          <w:p w14:paraId="7E615D13" w14:textId="77777777" w:rsidR="004C1A91" w:rsidRDefault="004C1A91" w:rsidP="00353FB6">
            <w:pPr>
              <w:spacing w:after="0" w:line="240" w:lineRule="auto"/>
              <w:ind w:left="720"/>
              <w:rPr>
                <w:rFonts w:ascii="Times New Roman" w:eastAsia="Times New Roman" w:hAnsi="Times New Roman"/>
                <w:sz w:val="20"/>
                <w:szCs w:val="20"/>
              </w:rPr>
            </w:pPr>
            <w:r>
              <w:rPr>
                <w:rFonts w:ascii="Times New Roman" w:eastAsia="Times New Roman" w:hAnsi="Times New Roman"/>
                <w:i/>
                <w:color w:val="000000"/>
                <w:sz w:val="20"/>
                <w:szCs w:val="20"/>
              </w:rPr>
              <w:t>kravas transportlīdzekļa iegādei</w:t>
            </w:r>
            <w:r w:rsidRPr="00F953D1">
              <w:rPr>
                <w:rFonts w:ascii="Times New Roman" w:eastAsia="Times New Roman" w:hAnsi="Times New Roman"/>
                <w:sz w:val="20"/>
                <w:szCs w:val="20"/>
              </w:rPr>
              <w:t>;</w:t>
            </w:r>
          </w:p>
          <w:p w14:paraId="3A1C8C42" w14:textId="77BD1039" w:rsidR="004C1A91" w:rsidRPr="00353FB6" w:rsidRDefault="004C1A91" w:rsidP="00DC1B9B">
            <w:pPr>
              <w:spacing w:after="0" w:line="240" w:lineRule="auto"/>
              <w:rPr>
                <w:rFonts w:ascii="Times New Roman" w:eastAsia="Times New Roman" w:hAnsi="Times New Roman"/>
                <w:i/>
                <w:sz w:val="20"/>
                <w:szCs w:val="20"/>
              </w:rPr>
            </w:pPr>
            <w:r>
              <w:rPr>
                <w:rFonts w:ascii="Times New Roman" w:eastAsia="Times New Roman" w:hAnsi="Times New Roman"/>
                <w:i/>
                <w:color w:val="000000"/>
                <w:sz w:val="20"/>
                <w:szCs w:val="20"/>
              </w:rPr>
              <w:t>6</w:t>
            </w:r>
            <w:r w:rsidRPr="00353FB6">
              <w:rPr>
                <w:rFonts w:ascii="Times New Roman" w:eastAsia="Times New Roman" w:hAnsi="Times New Roman"/>
                <w:sz w:val="20"/>
                <w:szCs w:val="20"/>
              </w:rPr>
              <w:t>.</w:t>
            </w:r>
            <w:r>
              <w:rPr>
                <w:rFonts w:ascii="Times New Roman" w:eastAsia="Times New Roman" w:hAnsi="Times New Roman"/>
                <w:sz w:val="20"/>
                <w:szCs w:val="20"/>
              </w:rPr>
              <w:t xml:space="preserve"> </w:t>
            </w:r>
            <w:r w:rsidRPr="00F953D1">
              <w:rPr>
                <w:rFonts w:ascii="Times New Roman" w:eastAsia="Times New Roman" w:hAnsi="Times New Roman"/>
                <w:sz w:val="20"/>
                <w:szCs w:val="20"/>
              </w:rPr>
              <w:t> </w:t>
            </w:r>
            <w:r w:rsidRPr="00353FB6">
              <w:rPr>
                <w:rFonts w:ascii="Times New Roman" w:eastAsia="Times New Roman" w:hAnsi="Times New Roman"/>
                <w:i/>
                <w:sz w:val="20"/>
                <w:szCs w:val="20"/>
              </w:rPr>
              <w:t>darbības jomām atbilstoši Komisijas regulas Nr.  </w:t>
            </w:r>
            <w:hyperlink r:id="rId12" w:tgtFrame="_blank" w:history="1">
              <w:r w:rsidRPr="00353FB6">
                <w:rPr>
                  <w:rStyle w:val="Hyperlink"/>
                  <w:rFonts w:ascii="Times New Roman" w:eastAsia="Times New Roman" w:hAnsi="Times New Roman"/>
                  <w:i/>
                  <w:sz w:val="20"/>
                  <w:szCs w:val="20"/>
                </w:rPr>
                <w:t>651/2014</w:t>
              </w:r>
            </w:hyperlink>
            <w:r w:rsidRPr="00353FB6">
              <w:rPr>
                <w:rFonts w:ascii="Times New Roman" w:eastAsia="Times New Roman" w:hAnsi="Times New Roman"/>
                <w:i/>
                <w:sz w:val="20"/>
                <w:szCs w:val="20"/>
              </w:rPr>
              <w:t> 13. pantam.</w:t>
            </w:r>
          </w:p>
          <w:p w14:paraId="4C64B114" w14:textId="0B20FECC" w:rsidR="004C1A91" w:rsidRPr="00353FB6" w:rsidRDefault="004C1A91" w:rsidP="00715073">
            <w:pPr>
              <w:spacing w:after="0" w:line="240" w:lineRule="auto"/>
              <w:rPr>
                <w:rFonts w:ascii="Times New Roman" w:eastAsia="Times New Roman" w:hAnsi="Times New Roman"/>
                <w:i/>
                <w:iCs/>
                <w:sz w:val="20"/>
                <w:szCs w:val="20"/>
              </w:rPr>
            </w:pPr>
            <w:r w:rsidRPr="00353FB6">
              <w:rPr>
                <w:rFonts w:ascii="Times New Roman" w:eastAsia="Times New Roman" w:hAnsi="Times New Roman"/>
                <w:i/>
                <w:sz w:val="20"/>
                <w:szCs w:val="20"/>
              </w:rPr>
              <w:t>7. Atbalsts, ko sniedz atbilstoši Komisijas regulas Nr.  </w:t>
            </w:r>
            <w:hyperlink r:id="rId13" w:tgtFrame="_blank" w:history="1">
              <w:r w:rsidRPr="00353FB6">
                <w:rPr>
                  <w:rStyle w:val="Hyperlink"/>
                  <w:rFonts w:ascii="Times New Roman" w:eastAsia="Times New Roman" w:hAnsi="Times New Roman"/>
                  <w:i/>
                  <w:sz w:val="20"/>
                  <w:szCs w:val="20"/>
                </w:rPr>
                <w:t>1407/2013</w:t>
              </w:r>
            </w:hyperlink>
            <w:r w:rsidRPr="00353FB6">
              <w:rPr>
                <w:rFonts w:ascii="Times New Roman" w:eastAsia="Times New Roman" w:hAnsi="Times New Roman"/>
                <w:i/>
                <w:sz w:val="20"/>
                <w:szCs w:val="20"/>
              </w:rPr>
              <w:t> nosacījumiem, netiek sniegts tām nozarēm, kuras atbilst Komisijas regulas Nr.  </w:t>
            </w:r>
            <w:hyperlink r:id="rId14" w:tgtFrame="_blank" w:history="1">
              <w:r w:rsidRPr="00353FB6">
                <w:rPr>
                  <w:rStyle w:val="Hyperlink"/>
                  <w:rFonts w:ascii="Times New Roman" w:eastAsia="Times New Roman" w:hAnsi="Times New Roman"/>
                  <w:i/>
                  <w:sz w:val="20"/>
                  <w:szCs w:val="20"/>
                </w:rPr>
                <w:t>1407/2013</w:t>
              </w:r>
            </w:hyperlink>
            <w:r w:rsidRPr="00353FB6">
              <w:rPr>
                <w:rFonts w:ascii="Times New Roman" w:eastAsia="Times New Roman" w:hAnsi="Times New Roman"/>
                <w:i/>
                <w:sz w:val="20"/>
                <w:szCs w:val="20"/>
              </w:rPr>
              <w:t> 1. panta 1. punktā minētajiem izņēmumiem.</w:t>
            </w:r>
          </w:p>
        </w:tc>
        <w:tc>
          <w:tcPr>
            <w:tcW w:w="737" w:type="dxa"/>
            <w:tcBorders>
              <w:left w:val="single" w:sz="4" w:space="0" w:color="000000" w:themeColor="text1"/>
              <w:right w:val="single" w:sz="4" w:space="0" w:color="000000" w:themeColor="text1"/>
            </w:tcBorders>
            <w:shd w:val="clear" w:color="auto" w:fill="auto"/>
            <w:vAlign w:val="center"/>
          </w:tcPr>
          <w:p w14:paraId="4DEA2235"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c>
          <w:tcPr>
            <w:tcW w:w="709" w:type="dxa"/>
            <w:tcBorders>
              <w:left w:val="single" w:sz="4" w:space="0" w:color="000000" w:themeColor="text1"/>
              <w:right w:val="single" w:sz="4" w:space="0" w:color="000000" w:themeColor="text1"/>
            </w:tcBorders>
            <w:shd w:val="clear" w:color="auto" w:fill="auto"/>
            <w:vAlign w:val="center"/>
          </w:tcPr>
          <w:p w14:paraId="2A2F3235"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r>
      <w:tr w:rsidR="0058391C" w14:paraId="213E4270" w14:textId="6F0B060D" w:rsidTr="1B7E3070">
        <w:tc>
          <w:tcPr>
            <w:tcW w:w="562" w:type="dxa"/>
            <w:shd w:val="clear" w:color="auto" w:fill="auto"/>
            <w:vAlign w:val="center"/>
          </w:tcPr>
          <w:p w14:paraId="4A45C795" w14:textId="77777777" w:rsidR="0058391C" w:rsidRDefault="0058391C" w:rsidP="005B703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7201" w:type="dxa"/>
            <w:tcBorders>
              <w:right w:val="single" w:sz="4" w:space="0" w:color="000000" w:themeColor="text1"/>
            </w:tcBorders>
            <w:shd w:val="clear" w:color="auto" w:fill="auto"/>
          </w:tcPr>
          <w:p w14:paraId="3378077A" w14:textId="0BDB8093" w:rsidR="0058391C" w:rsidRDefault="0058391C" w:rsidP="005B7030">
            <w:pPr>
              <w:pBdr>
                <w:top w:val="nil"/>
                <w:left w:val="nil"/>
                <w:bottom w:val="nil"/>
                <w:right w:val="nil"/>
                <w:between w:val="nil"/>
              </w:pBdr>
              <w:spacing w:after="0" w:line="240" w:lineRule="auto"/>
              <w:rPr>
                <w:rFonts w:ascii="Times New Roman" w:eastAsia="Times New Roman" w:hAnsi="Times New Roman"/>
                <w:sz w:val="20"/>
                <w:szCs w:val="20"/>
              </w:rPr>
            </w:pPr>
            <w:r w:rsidRPr="1B7E3070">
              <w:rPr>
                <w:rFonts w:ascii="Times New Roman" w:eastAsia="Times New Roman" w:hAnsi="Times New Roman"/>
                <w:sz w:val="20"/>
                <w:szCs w:val="20"/>
              </w:rPr>
              <w:t>Ja Pretendents piesakās uz prototipa izstrādes atbalstam, Pretendents nodrošina nozaru darbību vai izmaksu nodalīšanu saskaņā ar Eiropas Komisijas 2013. gada 18.decembra Regulas (ES) Nr.1407/2013 (turpmāk - regula Nr.1407/2013) 1. panta 2. punktu, ja tas darbojas vienā vai vairākās nozarēs vai veic citas darbības, kas neietilpst regulas Nr.1407/2013 darbības jomā.</w:t>
            </w:r>
          </w:p>
          <w:p w14:paraId="7206888D" w14:textId="6653BFB4" w:rsidR="004C1A91" w:rsidRDefault="004C1A91" w:rsidP="004C1A91">
            <w:pPr>
              <w:pBdr>
                <w:top w:val="nil"/>
                <w:left w:val="nil"/>
                <w:bottom w:val="nil"/>
                <w:right w:val="nil"/>
                <w:between w:val="nil"/>
              </w:pBdr>
              <w:spacing w:after="0" w:line="240" w:lineRule="auto"/>
              <w:rPr>
                <w:rFonts w:ascii="Times New Roman" w:eastAsia="Times New Roman" w:hAnsi="Times New Roman"/>
                <w:i/>
                <w:color w:val="000000"/>
                <w:sz w:val="20"/>
                <w:szCs w:val="20"/>
              </w:rPr>
            </w:pPr>
            <w:r>
              <w:rPr>
                <w:rFonts w:ascii="Times New Roman" w:eastAsia="Times New Roman" w:hAnsi="Times New Roman"/>
                <w:i/>
                <w:sz w:val="20"/>
                <w:szCs w:val="20"/>
              </w:rPr>
              <w:t>(Pretendents, kas piesakās uz mācībām “Inovāciju akadēmija”</w:t>
            </w:r>
            <w:r w:rsidRPr="00F31BA6">
              <w:rPr>
                <w:rFonts w:ascii="Times New Roman" w:eastAsia="Times New Roman" w:hAnsi="Times New Roman"/>
                <w:i/>
                <w:sz w:val="20"/>
                <w:szCs w:val="20"/>
              </w:rPr>
              <w:t>, norāda “n/a”.)</w:t>
            </w:r>
          </w:p>
        </w:tc>
        <w:tc>
          <w:tcPr>
            <w:tcW w:w="737" w:type="dxa"/>
            <w:tcBorders>
              <w:left w:val="single" w:sz="4" w:space="0" w:color="000000" w:themeColor="text1"/>
              <w:right w:val="single" w:sz="4" w:space="0" w:color="000000" w:themeColor="text1"/>
            </w:tcBorders>
            <w:shd w:val="clear" w:color="auto" w:fill="auto"/>
            <w:vAlign w:val="center"/>
          </w:tcPr>
          <w:p w14:paraId="7FB178DD" w14:textId="77777777" w:rsidR="0058391C" w:rsidRDefault="0058391C"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c>
          <w:tcPr>
            <w:tcW w:w="709" w:type="dxa"/>
            <w:tcBorders>
              <w:left w:val="single" w:sz="4" w:space="0" w:color="000000" w:themeColor="text1"/>
              <w:right w:val="single" w:sz="4" w:space="0" w:color="000000" w:themeColor="text1"/>
            </w:tcBorders>
            <w:shd w:val="clear" w:color="auto" w:fill="auto"/>
            <w:vAlign w:val="center"/>
          </w:tcPr>
          <w:p w14:paraId="5676A900" w14:textId="77777777" w:rsidR="0058391C" w:rsidRDefault="0058391C"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c>
          <w:tcPr>
            <w:tcW w:w="709" w:type="dxa"/>
            <w:tcBorders>
              <w:left w:val="single" w:sz="4" w:space="0" w:color="000000" w:themeColor="text1"/>
              <w:right w:val="single" w:sz="4" w:space="0" w:color="000000" w:themeColor="text1"/>
            </w:tcBorders>
          </w:tcPr>
          <w:p w14:paraId="68C2CF4C" w14:textId="5F8CA028" w:rsidR="0058391C" w:rsidRDefault="0058391C" w:rsidP="00353FB6">
            <w:pPr>
              <w:spacing w:after="360" w:line="240" w:lineRule="auto"/>
              <w:jc w:val="center"/>
              <w:rPr>
                <w:rFonts w:ascii="MS Gothic" w:eastAsia="MS Gothic" w:hAnsi="MS Gothic" w:cs="MS Gothic"/>
                <w:sz w:val="20"/>
                <w:szCs w:val="20"/>
              </w:rPr>
            </w:pPr>
            <w:r>
              <w:rPr>
                <w:rFonts w:ascii="MS Gothic" w:eastAsia="MS Gothic" w:hAnsi="MS Gothic" w:cs="MS Gothic"/>
                <w:sz w:val="20"/>
                <w:szCs w:val="20"/>
              </w:rPr>
              <w:t>N/a</w:t>
            </w:r>
          </w:p>
          <w:p w14:paraId="14F41AC9" w14:textId="14979192" w:rsidR="0058391C" w:rsidRDefault="0058391C" w:rsidP="00353FB6">
            <w:pPr>
              <w:spacing w:after="120" w:line="240" w:lineRule="auto"/>
              <w:jc w:val="center"/>
              <w:rPr>
                <w:rFonts w:ascii="MS Gothic" w:eastAsia="MS Gothic" w:hAnsi="MS Gothic" w:cs="MS Gothic"/>
                <w:sz w:val="20"/>
                <w:szCs w:val="20"/>
              </w:rPr>
            </w:pPr>
            <w:r w:rsidRPr="00F31BA6">
              <w:rPr>
                <w:rFonts w:ascii="MS Gothic" w:eastAsia="MS Gothic" w:hAnsi="MS Gothic" w:cs="MS Gothic"/>
                <w:sz w:val="20"/>
                <w:szCs w:val="20"/>
              </w:rPr>
              <w:t>☐</w:t>
            </w:r>
          </w:p>
        </w:tc>
      </w:tr>
      <w:tr w:rsidR="004C1A91" w14:paraId="0ED932F0" w14:textId="73B44072" w:rsidTr="1B7E3070">
        <w:trPr>
          <w:gridAfter w:val="1"/>
          <w:wAfter w:w="709" w:type="dxa"/>
        </w:trPr>
        <w:tc>
          <w:tcPr>
            <w:tcW w:w="562" w:type="dxa"/>
            <w:shd w:val="clear" w:color="auto" w:fill="auto"/>
            <w:vAlign w:val="center"/>
          </w:tcPr>
          <w:p w14:paraId="6C878991" w14:textId="77777777" w:rsidR="004C1A91" w:rsidRDefault="004C1A91" w:rsidP="005B703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w:t>
            </w:r>
          </w:p>
        </w:tc>
        <w:tc>
          <w:tcPr>
            <w:tcW w:w="7201" w:type="dxa"/>
            <w:tcBorders>
              <w:right w:val="single" w:sz="4" w:space="0" w:color="000000" w:themeColor="text1"/>
            </w:tcBorders>
            <w:shd w:val="clear" w:color="auto" w:fill="auto"/>
          </w:tcPr>
          <w:p w14:paraId="26B57970" w14:textId="68CB3FF1" w:rsidR="004C1A91" w:rsidRDefault="004C1A91" w:rsidP="005B7030">
            <w:pPr>
              <w:spacing w:after="0" w:line="240" w:lineRule="auto"/>
              <w:rPr>
                <w:rFonts w:ascii="Times New Roman" w:eastAsia="Times New Roman" w:hAnsi="Times New Roman"/>
                <w:sz w:val="20"/>
                <w:szCs w:val="20"/>
              </w:rPr>
            </w:pPr>
            <w:r>
              <w:rPr>
                <w:rFonts w:ascii="Times New Roman" w:eastAsia="Times New Roman" w:hAnsi="Times New Roman"/>
                <w:sz w:val="20"/>
                <w:szCs w:val="20"/>
              </w:rPr>
              <w:t>Pretendents neatrodas un izvairīsies no nonākšanas interešu konflikta situācijā ar Aģentūras darbiniekiem, kas Projekta ietvaros iesaistīti lēmuma pieņemšanas procesā attiecībā uz konkrēto pretendentu; ārpakalpojumu sniedzējiem un komisiju locekļiem.</w:t>
            </w:r>
          </w:p>
          <w:p w14:paraId="1B00779C" w14:textId="77777777" w:rsidR="004C1A91" w:rsidRDefault="004C1A91" w:rsidP="005B7030">
            <w:pPr>
              <w:pBdr>
                <w:top w:val="nil"/>
                <w:left w:val="nil"/>
                <w:bottom w:val="nil"/>
                <w:right w:val="nil"/>
                <w:between w:val="nil"/>
              </w:pBdr>
              <w:spacing w:after="0" w:line="240" w:lineRule="auto"/>
              <w:rPr>
                <w:rFonts w:ascii="Times New Roman" w:eastAsia="Times New Roman" w:hAnsi="Times New Roman"/>
                <w:i/>
                <w:color w:val="000000"/>
                <w:sz w:val="20"/>
                <w:szCs w:val="20"/>
              </w:rPr>
            </w:pPr>
            <w:r>
              <w:rPr>
                <w:rFonts w:ascii="Times New Roman" w:eastAsia="Times New Roman" w:hAnsi="Times New Roman"/>
                <w:i/>
                <w:sz w:val="20"/>
                <w:szCs w:val="20"/>
              </w:rPr>
              <w:t xml:space="preserve"> (Interešu konflikts – situācija, kurā personai pildot profesionālos pienākumus, jāpieņem lēmums vai jāpiedalās lēmuma pieņemšanā, vai jāveic citas ar amatu saistītas darbības, kas ietekmē vai var ietekmēt šīs personas, tās radinieku (tas ir, tēvs, māte, vecāmāte, vecaistēvs, bērns, mazbērns, adoptētais, adoptētājs, brālis, māsa, pusmāsa, pusbrālis, laulātais) vai darījumu partneru (tas ir, fiziskā vai juridiskā persona vai uz līguma pamata izveidota fizisko un juridisko personu apvienība, kas saskaņā ar normatīvajiem aktiem ir deklarējamās darījumu attiecībās ar personu) personiskās vai mantiskās intereses.)</w:t>
            </w:r>
          </w:p>
        </w:tc>
        <w:tc>
          <w:tcPr>
            <w:tcW w:w="737" w:type="dxa"/>
            <w:tcBorders>
              <w:left w:val="single" w:sz="4" w:space="0" w:color="000000" w:themeColor="text1"/>
              <w:right w:val="single" w:sz="4" w:space="0" w:color="000000" w:themeColor="text1"/>
            </w:tcBorders>
            <w:shd w:val="clear" w:color="auto" w:fill="auto"/>
            <w:vAlign w:val="center"/>
          </w:tcPr>
          <w:p w14:paraId="7BF95ECE"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c>
          <w:tcPr>
            <w:tcW w:w="709" w:type="dxa"/>
            <w:tcBorders>
              <w:left w:val="single" w:sz="4" w:space="0" w:color="000000" w:themeColor="text1"/>
              <w:right w:val="single" w:sz="4" w:space="0" w:color="000000" w:themeColor="text1"/>
            </w:tcBorders>
            <w:shd w:val="clear" w:color="auto" w:fill="auto"/>
            <w:vAlign w:val="center"/>
          </w:tcPr>
          <w:p w14:paraId="28B6FB73"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r>
      <w:tr w:rsidR="004C1A91" w14:paraId="2E02D55C" w14:textId="17D6C17F" w:rsidTr="1B7E3070">
        <w:trPr>
          <w:gridAfter w:val="1"/>
          <w:wAfter w:w="709" w:type="dxa"/>
        </w:trPr>
        <w:tc>
          <w:tcPr>
            <w:tcW w:w="562" w:type="dxa"/>
            <w:shd w:val="clear" w:color="auto" w:fill="auto"/>
            <w:vAlign w:val="center"/>
          </w:tcPr>
          <w:p w14:paraId="3D83D197" w14:textId="77777777" w:rsidR="004C1A91" w:rsidRDefault="004C1A91" w:rsidP="005B703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7201" w:type="dxa"/>
            <w:tcBorders>
              <w:right w:val="single" w:sz="4" w:space="0" w:color="000000" w:themeColor="text1"/>
            </w:tcBorders>
            <w:shd w:val="clear" w:color="auto" w:fill="auto"/>
          </w:tcPr>
          <w:p w14:paraId="050C74BC" w14:textId="77777777" w:rsidR="004C1A91" w:rsidRDefault="004C1A91" w:rsidP="005B7030">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Pretendents ievēro nosacījumu, ka pasākuma ietvaros </w:t>
            </w:r>
            <w:r>
              <w:rPr>
                <w:rFonts w:ascii="Times New Roman" w:eastAsia="Times New Roman" w:hAnsi="Times New Roman"/>
                <w:i/>
                <w:sz w:val="20"/>
                <w:szCs w:val="20"/>
              </w:rPr>
              <w:t>de minimis</w:t>
            </w:r>
            <w:r>
              <w:rPr>
                <w:rFonts w:ascii="Times New Roman" w:eastAsia="Times New Roman" w:hAnsi="Times New Roman"/>
                <w:sz w:val="20"/>
                <w:szCs w:val="20"/>
              </w:rPr>
              <w:t xml:space="preserve"> atbalstu drīkst kumulēt ar citu </w:t>
            </w:r>
            <w:r>
              <w:rPr>
                <w:rFonts w:ascii="Times New Roman" w:eastAsia="Times New Roman" w:hAnsi="Times New Roman"/>
                <w:i/>
                <w:sz w:val="20"/>
                <w:szCs w:val="20"/>
              </w:rPr>
              <w:t>de minimis</w:t>
            </w:r>
            <w:r>
              <w:rPr>
                <w:rFonts w:ascii="Times New Roman" w:eastAsia="Times New Roman" w:hAnsi="Times New Roman"/>
                <w:sz w:val="20"/>
                <w:szCs w:val="20"/>
              </w:rPr>
              <w:t xml:space="preserve"> atbalstu līdz regulas Nr.1407/2013 3. panta 2. punktā noteiktajam attiecīgajam robežlielumam un drīkst kumulēt ar citu valsts atbalstu attiecībā uz vienām un tām pašām attiecināmajām izmaksām vai citu valsts atbalstu tam pašam riska finansējuma pasākumam, ja šīs kumulācijas rezultātā netiek pārsniegta attiecīgā maksimālā atbalsta intensitāte vai atbalsta summa, kāda noteikta valsts atbalsta programmā vai Eiropas Komisijas lēmumā.</w:t>
            </w:r>
          </w:p>
        </w:tc>
        <w:tc>
          <w:tcPr>
            <w:tcW w:w="737" w:type="dxa"/>
            <w:tcBorders>
              <w:left w:val="single" w:sz="4" w:space="0" w:color="000000" w:themeColor="text1"/>
              <w:right w:val="single" w:sz="4" w:space="0" w:color="000000" w:themeColor="text1"/>
            </w:tcBorders>
            <w:shd w:val="clear" w:color="auto" w:fill="auto"/>
            <w:vAlign w:val="center"/>
          </w:tcPr>
          <w:p w14:paraId="49E712D5"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c>
          <w:tcPr>
            <w:tcW w:w="709" w:type="dxa"/>
            <w:tcBorders>
              <w:left w:val="single" w:sz="4" w:space="0" w:color="000000" w:themeColor="text1"/>
              <w:right w:val="single" w:sz="4" w:space="0" w:color="000000" w:themeColor="text1"/>
            </w:tcBorders>
            <w:shd w:val="clear" w:color="auto" w:fill="auto"/>
            <w:vAlign w:val="center"/>
          </w:tcPr>
          <w:p w14:paraId="40CA5A9B"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r>
      <w:tr w:rsidR="004C1A91" w14:paraId="04BE26E6" w14:textId="43AF604F" w:rsidTr="1B7E3070">
        <w:trPr>
          <w:gridAfter w:val="1"/>
          <w:wAfter w:w="709" w:type="dxa"/>
        </w:trPr>
        <w:tc>
          <w:tcPr>
            <w:tcW w:w="562" w:type="dxa"/>
            <w:shd w:val="clear" w:color="auto" w:fill="auto"/>
            <w:vAlign w:val="center"/>
          </w:tcPr>
          <w:p w14:paraId="29C127C9" w14:textId="5FA70F78" w:rsidR="004C1A91" w:rsidRDefault="004C1A91" w:rsidP="00353FB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00353FB6">
              <w:rPr>
                <w:rFonts w:ascii="Times New Roman" w:eastAsia="Times New Roman" w:hAnsi="Times New Roman"/>
                <w:sz w:val="20"/>
                <w:szCs w:val="20"/>
              </w:rPr>
              <w:t>1</w:t>
            </w:r>
            <w:r>
              <w:rPr>
                <w:rFonts w:ascii="Times New Roman" w:eastAsia="Times New Roman" w:hAnsi="Times New Roman"/>
                <w:sz w:val="20"/>
                <w:szCs w:val="20"/>
              </w:rPr>
              <w:t>.</w:t>
            </w:r>
          </w:p>
        </w:tc>
        <w:tc>
          <w:tcPr>
            <w:tcW w:w="7201" w:type="dxa"/>
            <w:tcBorders>
              <w:right w:val="single" w:sz="4" w:space="0" w:color="000000" w:themeColor="text1"/>
            </w:tcBorders>
            <w:shd w:val="clear" w:color="auto" w:fill="auto"/>
          </w:tcPr>
          <w:p w14:paraId="7220152B" w14:textId="77777777" w:rsidR="004C1A91" w:rsidRDefault="004C1A91" w:rsidP="005B7030">
            <w:pPr>
              <w:spacing w:after="0" w:line="240" w:lineRule="auto"/>
              <w:rPr>
                <w:rFonts w:ascii="Times New Roman" w:eastAsia="Times New Roman" w:hAnsi="Times New Roman"/>
                <w:i/>
                <w:sz w:val="20"/>
                <w:szCs w:val="20"/>
              </w:rPr>
            </w:pPr>
            <w:r>
              <w:rPr>
                <w:rFonts w:ascii="Times New Roman" w:eastAsia="Times New Roman" w:hAnsi="Times New Roman"/>
                <w:sz w:val="20"/>
                <w:szCs w:val="20"/>
              </w:rPr>
              <w:t xml:space="preserve">Pretendents ievēro </w:t>
            </w:r>
            <w:r w:rsidRPr="000F0523">
              <w:rPr>
                <w:rFonts w:ascii="Times New Roman" w:eastAsia="Times New Roman" w:hAnsi="Times New Roman"/>
                <w:sz w:val="20"/>
                <w:szCs w:val="20"/>
              </w:rPr>
              <w:t>cilvēka cieņas neaizskaramīb</w:t>
            </w:r>
            <w:r>
              <w:rPr>
                <w:rFonts w:ascii="Times New Roman" w:eastAsia="Times New Roman" w:hAnsi="Times New Roman"/>
                <w:sz w:val="20"/>
                <w:szCs w:val="20"/>
              </w:rPr>
              <w:t>u</w:t>
            </w:r>
            <w:r w:rsidRPr="000F0523">
              <w:rPr>
                <w:rFonts w:ascii="Times New Roman" w:eastAsia="Times New Roman" w:hAnsi="Times New Roman"/>
                <w:sz w:val="20"/>
                <w:szCs w:val="20"/>
              </w:rPr>
              <w:t>, brīvīb</w:t>
            </w:r>
            <w:r>
              <w:rPr>
                <w:rFonts w:ascii="Times New Roman" w:eastAsia="Times New Roman" w:hAnsi="Times New Roman"/>
                <w:sz w:val="20"/>
                <w:szCs w:val="20"/>
              </w:rPr>
              <w:t>u</w:t>
            </w:r>
            <w:r w:rsidRPr="000F0523">
              <w:rPr>
                <w:rFonts w:ascii="Times New Roman" w:eastAsia="Times New Roman" w:hAnsi="Times New Roman"/>
                <w:sz w:val="20"/>
                <w:szCs w:val="20"/>
              </w:rPr>
              <w:t>, demokrātij</w:t>
            </w:r>
            <w:r>
              <w:rPr>
                <w:rFonts w:ascii="Times New Roman" w:eastAsia="Times New Roman" w:hAnsi="Times New Roman"/>
                <w:sz w:val="20"/>
                <w:szCs w:val="20"/>
              </w:rPr>
              <w:t>u</w:t>
            </w:r>
            <w:r w:rsidRPr="000F0523">
              <w:rPr>
                <w:rFonts w:ascii="Times New Roman" w:eastAsia="Times New Roman" w:hAnsi="Times New Roman"/>
                <w:sz w:val="20"/>
                <w:szCs w:val="20"/>
              </w:rPr>
              <w:t>, vienlīdzīb</w:t>
            </w:r>
            <w:r>
              <w:rPr>
                <w:rFonts w:ascii="Times New Roman" w:eastAsia="Times New Roman" w:hAnsi="Times New Roman"/>
                <w:sz w:val="20"/>
                <w:szCs w:val="20"/>
              </w:rPr>
              <w:t>u</w:t>
            </w:r>
            <w:r w:rsidRPr="000F0523">
              <w:rPr>
                <w:rFonts w:ascii="Times New Roman" w:eastAsia="Times New Roman" w:hAnsi="Times New Roman"/>
                <w:sz w:val="20"/>
                <w:szCs w:val="20"/>
              </w:rPr>
              <w:t>, tiesiskum</w:t>
            </w:r>
            <w:r>
              <w:rPr>
                <w:rFonts w:ascii="Times New Roman" w:eastAsia="Times New Roman" w:hAnsi="Times New Roman"/>
                <w:sz w:val="20"/>
                <w:szCs w:val="20"/>
              </w:rPr>
              <w:t>u</w:t>
            </w:r>
            <w:r w:rsidRPr="000F0523">
              <w:rPr>
                <w:rFonts w:ascii="Times New Roman" w:eastAsia="Times New Roman" w:hAnsi="Times New Roman"/>
                <w:sz w:val="20"/>
                <w:szCs w:val="20"/>
              </w:rPr>
              <w:t xml:space="preserve"> un cilvēktiesīb</w:t>
            </w:r>
            <w:r>
              <w:rPr>
                <w:rFonts w:ascii="Times New Roman" w:eastAsia="Times New Roman" w:hAnsi="Times New Roman"/>
                <w:sz w:val="20"/>
                <w:szCs w:val="20"/>
              </w:rPr>
              <w:t xml:space="preserve">as, tostarp minoritāšu tiesības. </w:t>
            </w:r>
          </w:p>
        </w:tc>
        <w:tc>
          <w:tcPr>
            <w:tcW w:w="737" w:type="dxa"/>
            <w:tcBorders>
              <w:left w:val="single" w:sz="4" w:space="0" w:color="000000" w:themeColor="text1"/>
              <w:right w:val="single" w:sz="4" w:space="0" w:color="000000" w:themeColor="text1"/>
            </w:tcBorders>
            <w:shd w:val="clear" w:color="auto" w:fill="auto"/>
            <w:vAlign w:val="center"/>
          </w:tcPr>
          <w:p w14:paraId="53D919F1" w14:textId="77777777" w:rsidR="004C1A91" w:rsidRDefault="00353FB6" w:rsidP="005B7030">
            <w:pPr>
              <w:spacing w:after="0" w:line="240" w:lineRule="auto"/>
              <w:rPr>
                <w:rFonts w:ascii="Times New Roman" w:eastAsia="Times New Roman" w:hAnsi="Times New Roman"/>
                <w:sz w:val="20"/>
                <w:szCs w:val="20"/>
              </w:rPr>
            </w:pPr>
            <w:sdt>
              <w:sdtPr>
                <w:rPr>
                  <w:rFonts w:ascii="Times New Roman" w:hAnsi="Times New Roman"/>
                  <w:sz w:val="20"/>
                  <w:szCs w:val="20"/>
                </w:rPr>
                <w:id w:val="-1545905496"/>
                <w14:checkbox>
                  <w14:checked w14:val="0"/>
                  <w14:checkedState w14:val="2612" w14:font="MS Gothic"/>
                  <w14:uncheckedState w14:val="2610" w14:font="MS Gothic"/>
                </w14:checkbox>
              </w:sdtPr>
              <w:sdtEndPr/>
              <w:sdtContent>
                <w:r w:rsidR="004C1A91" w:rsidRPr="005951C8">
                  <w:rPr>
                    <w:rFonts w:ascii="Segoe UI Symbol" w:hAnsi="Segoe UI Symbol" w:cs="Segoe UI Symbol"/>
                    <w:sz w:val="20"/>
                    <w:szCs w:val="20"/>
                  </w:rPr>
                  <w:t>☐</w:t>
                </w:r>
              </w:sdtContent>
            </w:sdt>
          </w:p>
        </w:tc>
        <w:tc>
          <w:tcPr>
            <w:tcW w:w="709" w:type="dxa"/>
            <w:tcBorders>
              <w:left w:val="single" w:sz="4" w:space="0" w:color="000000" w:themeColor="text1"/>
              <w:right w:val="single" w:sz="4" w:space="0" w:color="000000" w:themeColor="text1"/>
            </w:tcBorders>
            <w:shd w:val="clear" w:color="auto" w:fill="auto"/>
            <w:vAlign w:val="center"/>
          </w:tcPr>
          <w:p w14:paraId="4AC50E30" w14:textId="77777777" w:rsidR="004C1A91" w:rsidRDefault="00353FB6" w:rsidP="005B7030">
            <w:pPr>
              <w:spacing w:after="0" w:line="240" w:lineRule="auto"/>
              <w:rPr>
                <w:rFonts w:ascii="Times New Roman" w:eastAsia="Times New Roman" w:hAnsi="Times New Roman"/>
                <w:sz w:val="20"/>
                <w:szCs w:val="20"/>
              </w:rPr>
            </w:pPr>
            <w:sdt>
              <w:sdtPr>
                <w:rPr>
                  <w:rFonts w:ascii="Times New Roman" w:hAnsi="Times New Roman"/>
                  <w:sz w:val="20"/>
                  <w:szCs w:val="20"/>
                </w:rPr>
                <w:id w:val="-267930023"/>
                <w14:checkbox>
                  <w14:checked w14:val="0"/>
                  <w14:checkedState w14:val="2612" w14:font="MS Gothic"/>
                  <w14:uncheckedState w14:val="2610" w14:font="MS Gothic"/>
                </w14:checkbox>
              </w:sdtPr>
              <w:sdtEndPr/>
              <w:sdtContent>
                <w:r w:rsidR="004C1A91" w:rsidRPr="005951C8">
                  <w:rPr>
                    <w:rFonts w:ascii="Segoe UI Symbol" w:hAnsi="Segoe UI Symbol" w:cs="Segoe UI Symbol"/>
                    <w:sz w:val="20"/>
                    <w:szCs w:val="20"/>
                  </w:rPr>
                  <w:t>☐</w:t>
                </w:r>
              </w:sdtContent>
            </w:sdt>
          </w:p>
        </w:tc>
      </w:tr>
      <w:tr w:rsidR="004C1A91" w14:paraId="3D0B6197" w14:textId="59C38736" w:rsidTr="1B7E3070">
        <w:trPr>
          <w:gridAfter w:val="1"/>
          <w:wAfter w:w="709" w:type="dxa"/>
        </w:trPr>
        <w:tc>
          <w:tcPr>
            <w:tcW w:w="562" w:type="dxa"/>
            <w:shd w:val="clear" w:color="auto" w:fill="auto"/>
            <w:vAlign w:val="center"/>
          </w:tcPr>
          <w:p w14:paraId="0DE708C5" w14:textId="2CFE1B89" w:rsidR="004C1A91" w:rsidRDefault="004C1A91" w:rsidP="00353FB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00353FB6">
              <w:rPr>
                <w:rFonts w:ascii="Times New Roman" w:eastAsia="Times New Roman" w:hAnsi="Times New Roman"/>
                <w:sz w:val="20"/>
                <w:szCs w:val="20"/>
              </w:rPr>
              <w:t>2</w:t>
            </w:r>
            <w:r>
              <w:rPr>
                <w:rFonts w:ascii="Times New Roman" w:eastAsia="Times New Roman" w:hAnsi="Times New Roman"/>
                <w:sz w:val="20"/>
                <w:szCs w:val="20"/>
              </w:rPr>
              <w:t>.</w:t>
            </w:r>
          </w:p>
        </w:tc>
        <w:tc>
          <w:tcPr>
            <w:tcW w:w="7201" w:type="dxa"/>
            <w:tcBorders>
              <w:right w:val="single" w:sz="4" w:space="0" w:color="000000" w:themeColor="text1"/>
            </w:tcBorders>
            <w:shd w:val="clear" w:color="auto" w:fill="auto"/>
          </w:tcPr>
          <w:p w14:paraId="73481E6B" w14:textId="77777777" w:rsidR="004C1A91" w:rsidRDefault="004C1A91" w:rsidP="005B7030">
            <w:pPr>
              <w:spacing w:after="0" w:line="240" w:lineRule="auto"/>
              <w:rPr>
                <w:rFonts w:ascii="Times New Roman" w:eastAsia="Times New Roman" w:hAnsi="Times New Roman"/>
                <w:sz w:val="20"/>
                <w:szCs w:val="20"/>
              </w:rPr>
            </w:pPr>
            <w:r>
              <w:rPr>
                <w:rFonts w:ascii="Times New Roman" w:eastAsia="Times New Roman" w:hAnsi="Times New Roman"/>
                <w:sz w:val="20"/>
                <w:szCs w:val="20"/>
              </w:rPr>
              <w:t>Pretendenta darbības atbilst labas pārvaldības principiem, ir līdzdalību veicinošas un iekļaujošas, tiek ieviestas atbildīgā veidā, ir pārskatāmas, atbilstošas, efektīvas un lietderīgas.</w:t>
            </w:r>
          </w:p>
        </w:tc>
        <w:tc>
          <w:tcPr>
            <w:tcW w:w="737" w:type="dxa"/>
            <w:tcBorders>
              <w:left w:val="single" w:sz="4" w:space="0" w:color="000000" w:themeColor="text1"/>
              <w:right w:val="single" w:sz="4" w:space="0" w:color="000000" w:themeColor="text1"/>
            </w:tcBorders>
            <w:shd w:val="clear" w:color="auto" w:fill="auto"/>
            <w:vAlign w:val="center"/>
          </w:tcPr>
          <w:p w14:paraId="30C3D932"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c>
          <w:tcPr>
            <w:tcW w:w="709" w:type="dxa"/>
            <w:tcBorders>
              <w:left w:val="single" w:sz="4" w:space="0" w:color="000000" w:themeColor="text1"/>
              <w:right w:val="single" w:sz="4" w:space="0" w:color="000000" w:themeColor="text1"/>
            </w:tcBorders>
            <w:shd w:val="clear" w:color="auto" w:fill="auto"/>
            <w:vAlign w:val="center"/>
          </w:tcPr>
          <w:p w14:paraId="64702369"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r>
      <w:tr w:rsidR="004C1A91" w14:paraId="42800972" w14:textId="1E2B2999" w:rsidTr="1B7E3070">
        <w:trPr>
          <w:gridAfter w:val="1"/>
          <w:wAfter w:w="709" w:type="dxa"/>
        </w:trPr>
        <w:tc>
          <w:tcPr>
            <w:tcW w:w="562" w:type="dxa"/>
            <w:shd w:val="clear" w:color="auto" w:fill="auto"/>
            <w:vAlign w:val="center"/>
          </w:tcPr>
          <w:p w14:paraId="78ABADA7" w14:textId="7D4200A9" w:rsidR="004C1A91" w:rsidRDefault="004C1A91" w:rsidP="00353FB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00353FB6">
              <w:rPr>
                <w:rFonts w:ascii="Times New Roman" w:eastAsia="Times New Roman" w:hAnsi="Times New Roman"/>
                <w:sz w:val="20"/>
                <w:szCs w:val="20"/>
              </w:rPr>
              <w:t>3</w:t>
            </w:r>
            <w:r>
              <w:rPr>
                <w:rFonts w:ascii="Times New Roman" w:eastAsia="Times New Roman" w:hAnsi="Times New Roman"/>
                <w:sz w:val="20"/>
                <w:szCs w:val="20"/>
              </w:rPr>
              <w:t>.</w:t>
            </w:r>
          </w:p>
        </w:tc>
        <w:tc>
          <w:tcPr>
            <w:tcW w:w="7201" w:type="dxa"/>
            <w:tcBorders>
              <w:right w:val="single" w:sz="4" w:space="0" w:color="000000" w:themeColor="text1"/>
            </w:tcBorders>
            <w:shd w:val="clear" w:color="auto" w:fill="auto"/>
          </w:tcPr>
          <w:p w14:paraId="6D31CAAA" w14:textId="38E1E261" w:rsidR="004C1A91" w:rsidRDefault="004C1A91" w:rsidP="005B7030">
            <w:pPr>
              <w:spacing w:after="0" w:line="240" w:lineRule="auto"/>
              <w:rPr>
                <w:rFonts w:ascii="Times New Roman" w:eastAsia="Times New Roman" w:hAnsi="Times New Roman"/>
                <w:sz w:val="20"/>
                <w:szCs w:val="20"/>
              </w:rPr>
            </w:pPr>
            <w:r>
              <w:rPr>
                <w:rFonts w:ascii="Times New Roman" w:eastAsia="Times New Roman" w:hAnsi="Times New Roman"/>
                <w:sz w:val="20"/>
                <w:szCs w:val="20"/>
              </w:rPr>
              <w:t>Pretendenta darbība ir savienojama ar</w:t>
            </w:r>
            <w:r w:rsidRPr="000F0523">
              <w:rPr>
                <w:rFonts w:ascii="Times New Roman" w:eastAsia="Times New Roman" w:hAnsi="Times New Roman"/>
                <w:sz w:val="20"/>
                <w:szCs w:val="20"/>
              </w:rPr>
              <w:t xml:space="preserve"> ilgtspējīgu attīstību, ilgtermiņa ekonomisko izaugsmi, sociālo kohēziju un vides aizsardzību</w:t>
            </w:r>
            <w:r>
              <w:rPr>
                <w:rFonts w:ascii="Times New Roman" w:eastAsia="Times New Roman" w:hAnsi="Times New Roman"/>
                <w:sz w:val="20"/>
                <w:szCs w:val="20"/>
              </w:rPr>
              <w:t xml:space="preserve">. </w:t>
            </w:r>
          </w:p>
        </w:tc>
        <w:tc>
          <w:tcPr>
            <w:tcW w:w="737" w:type="dxa"/>
            <w:tcBorders>
              <w:left w:val="single" w:sz="4" w:space="0" w:color="000000" w:themeColor="text1"/>
              <w:right w:val="single" w:sz="4" w:space="0" w:color="000000" w:themeColor="text1"/>
            </w:tcBorders>
            <w:shd w:val="clear" w:color="auto" w:fill="auto"/>
            <w:vAlign w:val="center"/>
          </w:tcPr>
          <w:p w14:paraId="2A38C449"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c>
          <w:tcPr>
            <w:tcW w:w="709" w:type="dxa"/>
            <w:tcBorders>
              <w:left w:val="single" w:sz="4" w:space="0" w:color="000000" w:themeColor="text1"/>
              <w:right w:val="single" w:sz="4" w:space="0" w:color="000000" w:themeColor="text1"/>
            </w:tcBorders>
            <w:shd w:val="clear" w:color="auto" w:fill="auto"/>
            <w:vAlign w:val="center"/>
          </w:tcPr>
          <w:p w14:paraId="5ECEE6FB"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r>
      <w:tr w:rsidR="004C1A91" w14:paraId="11366F0B" w14:textId="667BCEB2" w:rsidTr="1B7E3070">
        <w:trPr>
          <w:gridAfter w:val="1"/>
          <w:wAfter w:w="709" w:type="dxa"/>
        </w:trPr>
        <w:tc>
          <w:tcPr>
            <w:tcW w:w="562" w:type="dxa"/>
            <w:shd w:val="clear" w:color="auto" w:fill="auto"/>
            <w:vAlign w:val="center"/>
          </w:tcPr>
          <w:p w14:paraId="44F72139" w14:textId="38DB216F" w:rsidR="004C1A91" w:rsidRDefault="004C1A91" w:rsidP="00353FB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00353FB6">
              <w:rPr>
                <w:rFonts w:ascii="Times New Roman" w:eastAsia="Times New Roman" w:hAnsi="Times New Roman"/>
                <w:sz w:val="20"/>
                <w:szCs w:val="20"/>
              </w:rPr>
              <w:t>4</w:t>
            </w:r>
            <w:r>
              <w:rPr>
                <w:rFonts w:ascii="Times New Roman" w:eastAsia="Times New Roman" w:hAnsi="Times New Roman"/>
                <w:sz w:val="20"/>
                <w:szCs w:val="20"/>
              </w:rPr>
              <w:t>.</w:t>
            </w:r>
          </w:p>
        </w:tc>
        <w:tc>
          <w:tcPr>
            <w:tcW w:w="7201" w:type="dxa"/>
            <w:tcBorders>
              <w:right w:val="single" w:sz="4" w:space="0" w:color="000000" w:themeColor="text1"/>
            </w:tcBorders>
            <w:shd w:val="clear" w:color="auto" w:fill="auto"/>
          </w:tcPr>
          <w:p w14:paraId="57C25422" w14:textId="77777777" w:rsidR="004C1A91" w:rsidRDefault="004C1A91" w:rsidP="005B7030">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Pretendents </w:t>
            </w:r>
            <w:r w:rsidRPr="000F0523">
              <w:rPr>
                <w:rFonts w:ascii="Times New Roman" w:eastAsia="Times New Roman" w:hAnsi="Times New Roman"/>
                <w:sz w:val="20"/>
                <w:szCs w:val="20"/>
              </w:rPr>
              <w:t>ievēro rezultātu un riska pārvaldības pieeju</w:t>
            </w:r>
            <w:r>
              <w:rPr>
                <w:rFonts w:ascii="Times New Roman" w:eastAsia="Times New Roman" w:hAnsi="Times New Roman"/>
                <w:sz w:val="20"/>
                <w:szCs w:val="20"/>
              </w:rPr>
              <w:t>.</w:t>
            </w:r>
          </w:p>
        </w:tc>
        <w:tc>
          <w:tcPr>
            <w:tcW w:w="737" w:type="dxa"/>
            <w:tcBorders>
              <w:left w:val="single" w:sz="4" w:space="0" w:color="000000" w:themeColor="text1"/>
              <w:right w:val="single" w:sz="4" w:space="0" w:color="000000" w:themeColor="text1"/>
            </w:tcBorders>
            <w:shd w:val="clear" w:color="auto" w:fill="auto"/>
            <w:vAlign w:val="center"/>
          </w:tcPr>
          <w:p w14:paraId="552280AE" w14:textId="77777777" w:rsidR="004C1A91" w:rsidRDefault="00353FB6" w:rsidP="005B7030">
            <w:pPr>
              <w:spacing w:after="0" w:line="240" w:lineRule="auto"/>
              <w:rPr>
                <w:rFonts w:ascii="Times New Roman" w:eastAsia="Times New Roman" w:hAnsi="Times New Roman"/>
                <w:sz w:val="20"/>
                <w:szCs w:val="20"/>
              </w:rPr>
            </w:pPr>
            <w:sdt>
              <w:sdtPr>
                <w:rPr>
                  <w:rFonts w:ascii="Times New Roman" w:hAnsi="Times New Roman"/>
                  <w:sz w:val="20"/>
                  <w:szCs w:val="20"/>
                </w:rPr>
                <w:id w:val="801507328"/>
                <w14:checkbox>
                  <w14:checked w14:val="0"/>
                  <w14:checkedState w14:val="2612" w14:font="MS Gothic"/>
                  <w14:uncheckedState w14:val="2610" w14:font="MS Gothic"/>
                </w14:checkbox>
              </w:sdtPr>
              <w:sdtEndPr/>
              <w:sdtContent>
                <w:r w:rsidR="004C1A91" w:rsidRPr="005951C8">
                  <w:rPr>
                    <w:rFonts w:ascii="Segoe UI Symbol" w:hAnsi="Segoe UI Symbol" w:cs="Segoe UI Symbol"/>
                    <w:sz w:val="20"/>
                    <w:szCs w:val="20"/>
                  </w:rPr>
                  <w:t>☐</w:t>
                </w:r>
              </w:sdtContent>
            </w:sdt>
          </w:p>
        </w:tc>
        <w:tc>
          <w:tcPr>
            <w:tcW w:w="709" w:type="dxa"/>
            <w:tcBorders>
              <w:left w:val="single" w:sz="4" w:space="0" w:color="000000" w:themeColor="text1"/>
              <w:right w:val="single" w:sz="4" w:space="0" w:color="000000" w:themeColor="text1"/>
            </w:tcBorders>
            <w:shd w:val="clear" w:color="auto" w:fill="auto"/>
            <w:vAlign w:val="center"/>
          </w:tcPr>
          <w:p w14:paraId="27AF755E" w14:textId="77777777" w:rsidR="004C1A91" w:rsidRDefault="00353FB6" w:rsidP="005B7030">
            <w:pPr>
              <w:spacing w:after="0" w:line="240" w:lineRule="auto"/>
              <w:rPr>
                <w:rFonts w:ascii="Times New Roman" w:eastAsia="Times New Roman" w:hAnsi="Times New Roman"/>
                <w:sz w:val="20"/>
                <w:szCs w:val="20"/>
              </w:rPr>
            </w:pPr>
            <w:sdt>
              <w:sdtPr>
                <w:rPr>
                  <w:rFonts w:ascii="Times New Roman" w:hAnsi="Times New Roman"/>
                  <w:sz w:val="20"/>
                  <w:szCs w:val="20"/>
                </w:rPr>
                <w:id w:val="1085578979"/>
                <w14:checkbox>
                  <w14:checked w14:val="0"/>
                  <w14:checkedState w14:val="2612" w14:font="MS Gothic"/>
                  <w14:uncheckedState w14:val="2610" w14:font="MS Gothic"/>
                </w14:checkbox>
              </w:sdtPr>
              <w:sdtEndPr/>
              <w:sdtContent>
                <w:r w:rsidR="004C1A91" w:rsidRPr="005951C8">
                  <w:rPr>
                    <w:rFonts w:ascii="Segoe UI Symbol" w:hAnsi="Segoe UI Symbol" w:cs="Segoe UI Symbol"/>
                    <w:sz w:val="20"/>
                    <w:szCs w:val="20"/>
                  </w:rPr>
                  <w:t>☐</w:t>
                </w:r>
              </w:sdtContent>
            </w:sdt>
          </w:p>
        </w:tc>
      </w:tr>
      <w:tr w:rsidR="004C1A91" w14:paraId="6495F98C" w14:textId="68AA3B83" w:rsidTr="1B7E3070">
        <w:trPr>
          <w:gridAfter w:val="1"/>
          <w:wAfter w:w="709" w:type="dxa"/>
        </w:trPr>
        <w:tc>
          <w:tcPr>
            <w:tcW w:w="562" w:type="dxa"/>
            <w:shd w:val="clear" w:color="auto" w:fill="auto"/>
            <w:vAlign w:val="center"/>
          </w:tcPr>
          <w:p w14:paraId="704EAEF1" w14:textId="5E78BEFD" w:rsidR="004C1A91" w:rsidRPr="005951C8" w:rsidRDefault="004C1A91" w:rsidP="00353FB6">
            <w:pPr>
              <w:spacing w:after="0" w:line="240" w:lineRule="auto"/>
              <w:jc w:val="center"/>
              <w:rPr>
                <w:rFonts w:ascii="Times New Roman" w:hAnsi="Times New Roman"/>
                <w:sz w:val="20"/>
                <w:szCs w:val="20"/>
              </w:rPr>
            </w:pPr>
            <w:r>
              <w:rPr>
                <w:rFonts w:ascii="Times New Roman" w:hAnsi="Times New Roman"/>
                <w:sz w:val="20"/>
                <w:szCs w:val="20"/>
              </w:rPr>
              <w:t>1</w:t>
            </w:r>
            <w:r w:rsidR="00353FB6">
              <w:rPr>
                <w:rFonts w:ascii="Times New Roman" w:hAnsi="Times New Roman"/>
                <w:sz w:val="20"/>
                <w:szCs w:val="20"/>
              </w:rPr>
              <w:t>5</w:t>
            </w:r>
            <w:r>
              <w:rPr>
                <w:rFonts w:ascii="Times New Roman" w:hAnsi="Times New Roman"/>
                <w:sz w:val="20"/>
                <w:szCs w:val="20"/>
              </w:rPr>
              <w:t>.</w:t>
            </w:r>
          </w:p>
        </w:tc>
        <w:tc>
          <w:tcPr>
            <w:tcW w:w="7201" w:type="dxa"/>
            <w:tcBorders>
              <w:right w:val="single" w:sz="4" w:space="0" w:color="000000" w:themeColor="text1"/>
            </w:tcBorders>
            <w:shd w:val="clear" w:color="auto" w:fill="auto"/>
          </w:tcPr>
          <w:p w14:paraId="159A4B5D" w14:textId="77777777" w:rsidR="004C1A91" w:rsidRDefault="004C1A91" w:rsidP="005B7030">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Pretendents nav sniedzis nepatiesu informāciju un nav tīši maldinājis saistībā ar finansējumu. </w:t>
            </w:r>
          </w:p>
        </w:tc>
        <w:tc>
          <w:tcPr>
            <w:tcW w:w="737" w:type="dxa"/>
            <w:tcBorders>
              <w:left w:val="single" w:sz="4" w:space="0" w:color="000000" w:themeColor="text1"/>
              <w:right w:val="single" w:sz="4" w:space="0" w:color="000000" w:themeColor="text1"/>
            </w:tcBorders>
            <w:shd w:val="clear" w:color="auto" w:fill="auto"/>
            <w:vAlign w:val="center"/>
          </w:tcPr>
          <w:p w14:paraId="5B49F358"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c>
          <w:tcPr>
            <w:tcW w:w="709" w:type="dxa"/>
            <w:tcBorders>
              <w:left w:val="single" w:sz="4" w:space="0" w:color="000000" w:themeColor="text1"/>
              <w:right w:val="single" w:sz="4" w:space="0" w:color="000000" w:themeColor="text1"/>
            </w:tcBorders>
            <w:shd w:val="clear" w:color="auto" w:fill="auto"/>
            <w:vAlign w:val="center"/>
          </w:tcPr>
          <w:p w14:paraId="3F095887" w14:textId="77777777" w:rsidR="004C1A91" w:rsidRDefault="004C1A91" w:rsidP="005B7030">
            <w:pPr>
              <w:spacing w:after="0" w:line="240" w:lineRule="auto"/>
              <w:rPr>
                <w:rFonts w:ascii="Times New Roman" w:eastAsia="Times New Roman" w:hAnsi="Times New Roman"/>
                <w:sz w:val="20"/>
                <w:szCs w:val="20"/>
              </w:rPr>
            </w:pPr>
            <w:r>
              <w:rPr>
                <w:rFonts w:ascii="MS Gothic" w:eastAsia="MS Gothic" w:hAnsi="MS Gothic" w:cs="MS Gothic"/>
                <w:sz w:val="20"/>
                <w:szCs w:val="20"/>
              </w:rPr>
              <w:t>☐</w:t>
            </w:r>
          </w:p>
        </w:tc>
      </w:tr>
      <w:tr w:rsidR="004C1A91" w14:paraId="4CB38284" w14:textId="2D5F9637" w:rsidTr="1B7E3070">
        <w:trPr>
          <w:gridAfter w:val="1"/>
          <w:wAfter w:w="709" w:type="dxa"/>
        </w:trPr>
        <w:tc>
          <w:tcPr>
            <w:tcW w:w="562" w:type="dxa"/>
            <w:shd w:val="clear" w:color="auto" w:fill="auto"/>
            <w:vAlign w:val="center"/>
          </w:tcPr>
          <w:p w14:paraId="69A84931" w14:textId="1D70C4F2" w:rsidR="004C1A91" w:rsidRDefault="004C1A91" w:rsidP="00353FB6">
            <w:pPr>
              <w:spacing w:after="0" w:line="240" w:lineRule="auto"/>
              <w:jc w:val="center"/>
              <w:rPr>
                <w:rFonts w:ascii="Times New Roman" w:hAnsi="Times New Roman"/>
                <w:sz w:val="20"/>
                <w:szCs w:val="20"/>
              </w:rPr>
            </w:pPr>
            <w:r>
              <w:rPr>
                <w:rFonts w:ascii="Times New Roman" w:hAnsi="Times New Roman"/>
                <w:sz w:val="20"/>
                <w:szCs w:val="20"/>
              </w:rPr>
              <w:t>1</w:t>
            </w:r>
            <w:r w:rsidR="00353FB6">
              <w:rPr>
                <w:rFonts w:ascii="Times New Roman" w:hAnsi="Times New Roman"/>
                <w:sz w:val="20"/>
                <w:szCs w:val="20"/>
              </w:rPr>
              <w:t>6</w:t>
            </w:r>
            <w:r>
              <w:rPr>
                <w:rFonts w:ascii="Times New Roman" w:hAnsi="Times New Roman"/>
                <w:sz w:val="20"/>
                <w:szCs w:val="20"/>
              </w:rPr>
              <w:t>.</w:t>
            </w:r>
          </w:p>
        </w:tc>
        <w:tc>
          <w:tcPr>
            <w:tcW w:w="7201" w:type="dxa"/>
            <w:tcBorders>
              <w:right w:val="single" w:sz="4" w:space="0" w:color="000000" w:themeColor="text1"/>
            </w:tcBorders>
            <w:shd w:val="clear" w:color="auto" w:fill="auto"/>
          </w:tcPr>
          <w:p w14:paraId="780CD668" w14:textId="2630EB47" w:rsidR="004C1A91" w:rsidRDefault="004C1A91" w:rsidP="00F31BA6">
            <w:pPr>
              <w:spacing w:after="0" w:line="240" w:lineRule="auto"/>
              <w:rPr>
                <w:rFonts w:ascii="Times New Roman" w:eastAsia="Times New Roman" w:hAnsi="Times New Roman"/>
                <w:sz w:val="20"/>
                <w:szCs w:val="20"/>
              </w:rPr>
            </w:pPr>
            <w:r>
              <w:rPr>
                <w:rFonts w:ascii="Times New Roman" w:eastAsia="Times New Roman" w:hAnsi="Times New Roman"/>
                <w:sz w:val="20"/>
                <w:szCs w:val="20"/>
              </w:rPr>
              <w:t>Pretendents piekrīt, ka pēc Pieteikuma apstiprināšanas, Aģentūra ir tiesīga nodot Pretendenta iesniegto Pieteikumu Projekta Sadarbības partneriem (Latvijas Universitāte, Rīgas Tehniskā universitāte, Rīgas Stradiņa universitāte)</w:t>
            </w:r>
          </w:p>
        </w:tc>
        <w:tc>
          <w:tcPr>
            <w:tcW w:w="737" w:type="dxa"/>
            <w:tcBorders>
              <w:left w:val="single" w:sz="4" w:space="0" w:color="000000" w:themeColor="text1"/>
              <w:right w:val="single" w:sz="4" w:space="0" w:color="000000" w:themeColor="text1"/>
            </w:tcBorders>
            <w:shd w:val="clear" w:color="auto" w:fill="auto"/>
            <w:vAlign w:val="center"/>
          </w:tcPr>
          <w:p w14:paraId="1F8A4C6B" w14:textId="3516B6FE" w:rsidR="004C1A91" w:rsidRDefault="004C1A91" w:rsidP="00F31BA6">
            <w:pPr>
              <w:spacing w:after="0" w:line="240" w:lineRule="auto"/>
              <w:rPr>
                <w:rFonts w:ascii="MS Gothic" w:eastAsia="MS Gothic" w:hAnsi="MS Gothic" w:cs="MS Gothic"/>
                <w:sz w:val="20"/>
                <w:szCs w:val="20"/>
              </w:rPr>
            </w:pPr>
            <w:r>
              <w:rPr>
                <w:rFonts w:ascii="MS Gothic" w:eastAsia="MS Gothic" w:hAnsi="MS Gothic" w:cs="MS Gothic"/>
                <w:sz w:val="20"/>
                <w:szCs w:val="20"/>
              </w:rPr>
              <w:t>☐</w:t>
            </w:r>
          </w:p>
        </w:tc>
        <w:tc>
          <w:tcPr>
            <w:tcW w:w="709" w:type="dxa"/>
            <w:tcBorders>
              <w:left w:val="single" w:sz="4" w:space="0" w:color="000000" w:themeColor="text1"/>
              <w:right w:val="single" w:sz="4" w:space="0" w:color="000000" w:themeColor="text1"/>
            </w:tcBorders>
            <w:shd w:val="clear" w:color="auto" w:fill="auto"/>
            <w:vAlign w:val="center"/>
          </w:tcPr>
          <w:p w14:paraId="17A2696F" w14:textId="4376F515" w:rsidR="004C1A91" w:rsidRDefault="004C1A91" w:rsidP="00F31BA6">
            <w:pPr>
              <w:spacing w:after="0" w:line="240" w:lineRule="auto"/>
              <w:rPr>
                <w:rFonts w:ascii="MS Gothic" w:eastAsia="MS Gothic" w:hAnsi="MS Gothic" w:cs="MS Gothic"/>
                <w:sz w:val="20"/>
                <w:szCs w:val="20"/>
              </w:rPr>
            </w:pPr>
            <w:r>
              <w:rPr>
                <w:rFonts w:ascii="MS Gothic" w:eastAsia="MS Gothic" w:hAnsi="MS Gothic" w:cs="MS Gothic"/>
                <w:sz w:val="20"/>
                <w:szCs w:val="20"/>
              </w:rPr>
              <w:t>☐</w:t>
            </w:r>
          </w:p>
        </w:tc>
      </w:tr>
      <w:tr w:rsidR="004C1A91" w14:paraId="03FF1640" w14:textId="6B10CB01" w:rsidTr="1B7E3070">
        <w:tc>
          <w:tcPr>
            <w:tcW w:w="562" w:type="dxa"/>
            <w:shd w:val="clear" w:color="auto" w:fill="auto"/>
            <w:vAlign w:val="center"/>
          </w:tcPr>
          <w:p w14:paraId="68936D23" w14:textId="5A409356" w:rsidR="004C1A91" w:rsidRPr="005951C8" w:rsidRDefault="004C1A91" w:rsidP="00353FB6">
            <w:pPr>
              <w:spacing w:after="0" w:line="240" w:lineRule="auto"/>
              <w:jc w:val="center"/>
              <w:rPr>
                <w:rFonts w:ascii="Times New Roman" w:hAnsi="Times New Roman"/>
                <w:sz w:val="20"/>
                <w:szCs w:val="20"/>
              </w:rPr>
            </w:pPr>
            <w:r>
              <w:rPr>
                <w:rFonts w:ascii="Times New Roman" w:hAnsi="Times New Roman"/>
                <w:sz w:val="20"/>
                <w:szCs w:val="20"/>
              </w:rPr>
              <w:t>1</w:t>
            </w:r>
            <w:r w:rsidR="00353FB6">
              <w:rPr>
                <w:rFonts w:ascii="Times New Roman" w:hAnsi="Times New Roman"/>
                <w:sz w:val="20"/>
                <w:szCs w:val="20"/>
              </w:rPr>
              <w:t>7</w:t>
            </w:r>
            <w:r>
              <w:rPr>
                <w:rFonts w:ascii="Times New Roman" w:hAnsi="Times New Roman"/>
                <w:sz w:val="20"/>
                <w:szCs w:val="20"/>
              </w:rPr>
              <w:t>.</w:t>
            </w:r>
          </w:p>
        </w:tc>
        <w:tc>
          <w:tcPr>
            <w:tcW w:w="7201" w:type="dxa"/>
            <w:tcBorders>
              <w:right w:val="single" w:sz="4" w:space="0" w:color="000000" w:themeColor="text1"/>
            </w:tcBorders>
            <w:shd w:val="clear" w:color="auto" w:fill="auto"/>
          </w:tcPr>
          <w:p w14:paraId="7ACECC86" w14:textId="77777777" w:rsidR="004C1A91" w:rsidRPr="00F31BA6" w:rsidRDefault="004C1A91" w:rsidP="005B7030">
            <w:pPr>
              <w:spacing w:after="0" w:line="240" w:lineRule="auto"/>
              <w:rPr>
                <w:rFonts w:ascii="Times New Roman" w:eastAsia="Times New Roman" w:hAnsi="Times New Roman"/>
                <w:sz w:val="20"/>
                <w:szCs w:val="20"/>
              </w:rPr>
            </w:pPr>
            <w:r w:rsidRPr="00F31BA6">
              <w:rPr>
                <w:rFonts w:ascii="Times New Roman" w:eastAsia="Times New Roman" w:hAnsi="Times New Roman"/>
                <w:sz w:val="20"/>
                <w:szCs w:val="20"/>
              </w:rPr>
              <w:t>Pretendents - komersants atbilst sīkā (mikro), mazā vai vidējā komersanta statusam saskaņā ar Eiropas Komisijas 2014. gada 17. jūnija Regulas (ES) Nr.651/2014 1.pielikumu.</w:t>
            </w:r>
          </w:p>
          <w:p w14:paraId="6A8937B3" w14:textId="227F6834" w:rsidR="004C1A91" w:rsidRPr="00F31BA6" w:rsidRDefault="004C1A91" w:rsidP="005B7030">
            <w:pPr>
              <w:spacing w:after="0" w:line="240" w:lineRule="auto"/>
              <w:rPr>
                <w:rFonts w:ascii="Times New Roman" w:eastAsia="Times New Roman" w:hAnsi="Times New Roman"/>
                <w:sz w:val="20"/>
                <w:szCs w:val="20"/>
              </w:rPr>
            </w:pPr>
            <w:r w:rsidRPr="00F31BA6">
              <w:rPr>
                <w:rFonts w:ascii="Times New Roman" w:eastAsia="Times New Roman" w:hAnsi="Times New Roman"/>
                <w:i/>
                <w:sz w:val="20"/>
                <w:szCs w:val="20"/>
              </w:rPr>
              <w:t xml:space="preserve">(Pretendents - fiziska persona </w:t>
            </w:r>
            <w:r w:rsidR="002C1497">
              <w:rPr>
                <w:rFonts w:ascii="Times New Roman" w:eastAsia="Times New Roman" w:hAnsi="Times New Roman"/>
                <w:i/>
                <w:sz w:val="20"/>
                <w:szCs w:val="20"/>
              </w:rPr>
              <w:t>vai Pretendents</w:t>
            </w:r>
            <w:r w:rsidRPr="00F31BA6">
              <w:rPr>
                <w:rFonts w:ascii="Times New Roman" w:eastAsia="Times New Roman" w:hAnsi="Times New Roman"/>
                <w:i/>
                <w:sz w:val="20"/>
                <w:szCs w:val="20"/>
              </w:rPr>
              <w:t>, kas nav komersants, norāda “n/a”.)</w:t>
            </w:r>
          </w:p>
        </w:tc>
        <w:tc>
          <w:tcPr>
            <w:tcW w:w="737" w:type="dxa"/>
            <w:tcBorders>
              <w:left w:val="single" w:sz="4" w:space="0" w:color="000000" w:themeColor="text1"/>
              <w:right w:val="single" w:sz="4" w:space="0" w:color="000000" w:themeColor="text1"/>
            </w:tcBorders>
            <w:shd w:val="clear" w:color="auto" w:fill="auto"/>
            <w:vAlign w:val="center"/>
          </w:tcPr>
          <w:p w14:paraId="2D2AB428" w14:textId="77777777" w:rsidR="004C1A91" w:rsidRPr="00F31BA6" w:rsidRDefault="004C1A91" w:rsidP="005B7030">
            <w:pPr>
              <w:spacing w:after="0" w:line="240" w:lineRule="auto"/>
              <w:rPr>
                <w:rFonts w:ascii="Times New Roman" w:eastAsia="Times New Roman" w:hAnsi="Times New Roman"/>
                <w:sz w:val="20"/>
                <w:szCs w:val="20"/>
              </w:rPr>
            </w:pPr>
            <w:r w:rsidRPr="00F31BA6">
              <w:rPr>
                <w:rFonts w:ascii="MS Gothic" w:eastAsia="MS Gothic" w:hAnsi="MS Gothic" w:cs="MS Gothic"/>
                <w:sz w:val="20"/>
                <w:szCs w:val="20"/>
              </w:rPr>
              <w:t>☐</w:t>
            </w:r>
          </w:p>
        </w:tc>
        <w:tc>
          <w:tcPr>
            <w:tcW w:w="709" w:type="dxa"/>
            <w:tcBorders>
              <w:left w:val="single" w:sz="4" w:space="0" w:color="000000" w:themeColor="text1"/>
              <w:right w:val="single" w:sz="4" w:space="0" w:color="000000" w:themeColor="text1"/>
            </w:tcBorders>
            <w:shd w:val="clear" w:color="auto" w:fill="auto"/>
            <w:vAlign w:val="center"/>
          </w:tcPr>
          <w:p w14:paraId="5A4E2C1C" w14:textId="77777777" w:rsidR="004C1A91" w:rsidRPr="00F31BA6" w:rsidRDefault="004C1A91" w:rsidP="005B7030">
            <w:pPr>
              <w:spacing w:after="0" w:line="240" w:lineRule="auto"/>
              <w:rPr>
                <w:rFonts w:ascii="Times New Roman" w:eastAsia="Times New Roman" w:hAnsi="Times New Roman"/>
                <w:sz w:val="20"/>
                <w:szCs w:val="20"/>
              </w:rPr>
            </w:pPr>
            <w:r w:rsidRPr="00F31BA6">
              <w:rPr>
                <w:rFonts w:ascii="MS Gothic" w:eastAsia="MS Gothic" w:hAnsi="MS Gothic" w:cs="MS Gothic"/>
                <w:sz w:val="20"/>
                <w:szCs w:val="20"/>
              </w:rPr>
              <w:t>☐</w:t>
            </w:r>
          </w:p>
        </w:tc>
        <w:tc>
          <w:tcPr>
            <w:tcW w:w="709" w:type="dxa"/>
            <w:tcBorders>
              <w:left w:val="single" w:sz="4" w:space="0" w:color="000000" w:themeColor="text1"/>
              <w:right w:val="single" w:sz="4" w:space="0" w:color="000000" w:themeColor="text1"/>
            </w:tcBorders>
          </w:tcPr>
          <w:p w14:paraId="5C642AC7" w14:textId="2AF9D9C7" w:rsidR="004C1A91" w:rsidRDefault="004C1A91" w:rsidP="00F31BA6">
            <w:pPr>
              <w:spacing w:after="120" w:line="240" w:lineRule="auto"/>
              <w:jc w:val="center"/>
              <w:rPr>
                <w:rFonts w:ascii="MS Gothic" w:eastAsia="MS Gothic" w:hAnsi="MS Gothic" w:cs="MS Gothic"/>
                <w:sz w:val="20"/>
                <w:szCs w:val="20"/>
              </w:rPr>
            </w:pPr>
            <w:r>
              <w:rPr>
                <w:rFonts w:ascii="MS Gothic" w:eastAsia="MS Gothic" w:hAnsi="MS Gothic" w:cs="MS Gothic"/>
                <w:sz w:val="20"/>
                <w:szCs w:val="20"/>
              </w:rPr>
              <w:t>N/a</w:t>
            </w:r>
          </w:p>
          <w:p w14:paraId="7E48D454" w14:textId="1E16666D" w:rsidR="004C1A91" w:rsidRPr="00F31BA6" w:rsidRDefault="004C1A91" w:rsidP="00F31BA6">
            <w:pPr>
              <w:spacing w:after="0" w:line="240" w:lineRule="auto"/>
              <w:jc w:val="center"/>
              <w:rPr>
                <w:rFonts w:ascii="MS Gothic" w:eastAsia="MS Gothic" w:hAnsi="MS Gothic" w:cs="MS Gothic"/>
                <w:sz w:val="20"/>
                <w:szCs w:val="20"/>
              </w:rPr>
            </w:pPr>
            <w:r w:rsidRPr="00F31BA6">
              <w:rPr>
                <w:rFonts w:ascii="MS Gothic" w:eastAsia="MS Gothic" w:hAnsi="MS Gothic" w:cs="MS Gothic"/>
                <w:sz w:val="20"/>
                <w:szCs w:val="20"/>
              </w:rPr>
              <w:t>☐</w:t>
            </w:r>
          </w:p>
        </w:tc>
      </w:tr>
    </w:tbl>
    <w:p w14:paraId="6C055430" w14:textId="77777777" w:rsidR="005157A2" w:rsidRDefault="005157A2" w:rsidP="005157A2">
      <w:pPr>
        <w:spacing w:after="0" w:line="240" w:lineRule="auto"/>
        <w:rPr>
          <w:rFonts w:ascii="Times New Roman" w:eastAsia="Times New Roman" w:hAnsi="Times New Roman"/>
          <w:sz w:val="20"/>
          <w:szCs w:val="20"/>
        </w:rPr>
      </w:pPr>
    </w:p>
    <w:p w14:paraId="237BA575" w14:textId="77777777" w:rsidR="005157A2" w:rsidRDefault="005157A2" w:rsidP="005157A2">
      <w:pPr>
        <w:spacing w:after="0" w:line="240" w:lineRule="auto"/>
        <w:rPr>
          <w:rFonts w:ascii="Times New Roman" w:eastAsia="Times New Roman" w:hAnsi="Times New Roman"/>
          <w:sz w:val="20"/>
          <w:szCs w:val="20"/>
        </w:rPr>
      </w:pPr>
      <w:r>
        <w:rPr>
          <w:rFonts w:ascii="Times New Roman" w:eastAsia="Times New Roman" w:hAnsi="Times New Roman"/>
          <w:sz w:val="20"/>
          <w:szCs w:val="20"/>
        </w:rPr>
        <w:t>Apliecinu, ka sniegtā informācija ir pilnīga un patiesa.</w:t>
      </w:r>
    </w:p>
    <w:tbl>
      <w:tblPr>
        <w:tblW w:w="9072" w:type="dxa"/>
        <w:tblLayout w:type="fixed"/>
        <w:tblLook w:val="0000" w:firstRow="0" w:lastRow="0" w:firstColumn="0" w:lastColumn="0" w:noHBand="0" w:noVBand="0"/>
      </w:tblPr>
      <w:tblGrid>
        <w:gridCol w:w="2916"/>
        <w:gridCol w:w="275"/>
        <w:gridCol w:w="2061"/>
        <w:gridCol w:w="276"/>
        <w:gridCol w:w="1839"/>
        <w:gridCol w:w="276"/>
        <w:gridCol w:w="1429"/>
      </w:tblGrid>
      <w:tr w:rsidR="005157A2" w14:paraId="447F6AE1" w14:textId="77777777" w:rsidTr="00FF158E">
        <w:tc>
          <w:tcPr>
            <w:tcW w:w="2916" w:type="dxa"/>
            <w:tcBorders>
              <w:bottom w:val="single" w:sz="4" w:space="0" w:color="000000"/>
            </w:tcBorders>
          </w:tcPr>
          <w:p w14:paraId="59874242" w14:textId="77777777" w:rsidR="005157A2" w:rsidRDefault="005157A2" w:rsidP="00FF158E">
            <w:pPr>
              <w:spacing w:after="0" w:line="240" w:lineRule="auto"/>
              <w:rPr>
                <w:rFonts w:ascii="Times New Roman" w:eastAsia="Times New Roman" w:hAnsi="Times New Roman"/>
                <w:sz w:val="20"/>
                <w:szCs w:val="20"/>
              </w:rPr>
            </w:pPr>
          </w:p>
          <w:p w14:paraId="3505C621" w14:textId="77777777" w:rsidR="005157A2" w:rsidRDefault="005157A2" w:rsidP="00FF158E">
            <w:pPr>
              <w:spacing w:after="0" w:line="240" w:lineRule="auto"/>
              <w:rPr>
                <w:rFonts w:ascii="Times New Roman" w:eastAsia="Times New Roman" w:hAnsi="Times New Roman"/>
                <w:sz w:val="20"/>
                <w:szCs w:val="20"/>
              </w:rPr>
            </w:pPr>
          </w:p>
          <w:p w14:paraId="398EA5E6" w14:textId="77777777" w:rsidR="005157A2" w:rsidRDefault="005157A2" w:rsidP="00FF158E">
            <w:pPr>
              <w:spacing w:after="0" w:line="240" w:lineRule="auto"/>
              <w:rPr>
                <w:rFonts w:ascii="Times New Roman" w:eastAsia="Times New Roman" w:hAnsi="Times New Roman"/>
                <w:sz w:val="20"/>
                <w:szCs w:val="20"/>
              </w:rPr>
            </w:pPr>
          </w:p>
        </w:tc>
        <w:tc>
          <w:tcPr>
            <w:tcW w:w="275" w:type="dxa"/>
          </w:tcPr>
          <w:p w14:paraId="307F2E17" w14:textId="77777777" w:rsidR="005157A2" w:rsidRDefault="005157A2" w:rsidP="00FF158E">
            <w:pPr>
              <w:spacing w:after="0" w:line="240" w:lineRule="auto"/>
              <w:rPr>
                <w:rFonts w:ascii="Times New Roman" w:eastAsia="Times New Roman" w:hAnsi="Times New Roman"/>
                <w:sz w:val="20"/>
                <w:szCs w:val="20"/>
              </w:rPr>
            </w:pPr>
          </w:p>
        </w:tc>
        <w:tc>
          <w:tcPr>
            <w:tcW w:w="2061" w:type="dxa"/>
            <w:tcBorders>
              <w:bottom w:val="single" w:sz="4" w:space="0" w:color="000000"/>
            </w:tcBorders>
            <w:shd w:val="clear" w:color="auto" w:fill="auto"/>
          </w:tcPr>
          <w:p w14:paraId="1A17F16A" w14:textId="77777777" w:rsidR="005157A2" w:rsidRDefault="005157A2" w:rsidP="00FF158E">
            <w:pPr>
              <w:spacing w:after="0" w:line="240" w:lineRule="auto"/>
              <w:rPr>
                <w:rFonts w:ascii="Times New Roman" w:eastAsia="Times New Roman" w:hAnsi="Times New Roman"/>
                <w:sz w:val="20"/>
                <w:szCs w:val="20"/>
              </w:rPr>
            </w:pPr>
          </w:p>
          <w:p w14:paraId="239526CF" w14:textId="77777777" w:rsidR="005157A2" w:rsidRDefault="005157A2" w:rsidP="00FF158E">
            <w:pPr>
              <w:spacing w:after="0" w:line="240" w:lineRule="auto"/>
              <w:rPr>
                <w:rFonts w:ascii="Times New Roman" w:eastAsia="Times New Roman" w:hAnsi="Times New Roman"/>
                <w:sz w:val="20"/>
                <w:szCs w:val="20"/>
              </w:rPr>
            </w:pPr>
          </w:p>
          <w:p w14:paraId="2BFE88A0" w14:textId="77777777" w:rsidR="005157A2" w:rsidRDefault="005157A2" w:rsidP="00FF158E">
            <w:pPr>
              <w:spacing w:after="0" w:line="240" w:lineRule="auto"/>
              <w:rPr>
                <w:rFonts w:ascii="Times New Roman" w:eastAsia="Times New Roman" w:hAnsi="Times New Roman"/>
                <w:sz w:val="20"/>
                <w:szCs w:val="20"/>
              </w:rPr>
            </w:pPr>
          </w:p>
        </w:tc>
        <w:tc>
          <w:tcPr>
            <w:tcW w:w="276" w:type="dxa"/>
            <w:shd w:val="clear" w:color="auto" w:fill="auto"/>
          </w:tcPr>
          <w:p w14:paraId="5ECC2928" w14:textId="77777777" w:rsidR="005157A2" w:rsidRDefault="005157A2" w:rsidP="00FF158E">
            <w:pPr>
              <w:spacing w:after="0" w:line="240" w:lineRule="auto"/>
              <w:rPr>
                <w:rFonts w:ascii="Times New Roman" w:eastAsia="Times New Roman" w:hAnsi="Times New Roman"/>
                <w:b/>
                <w:sz w:val="20"/>
                <w:szCs w:val="20"/>
              </w:rPr>
            </w:pPr>
          </w:p>
        </w:tc>
        <w:tc>
          <w:tcPr>
            <w:tcW w:w="1839" w:type="dxa"/>
            <w:tcBorders>
              <w:bottom w:val="single" w:sz="4" w:space="0" w:color="000000"/>
            </w:tcBorders>
            <w:shd w:val="clear" w:color="auto" w:fill="auto"/>
          </w:tcPr>
          <w:p w14:paraId="5953C4DD" w14:textId="77777777" w:rsidR="005157A2" w:rsidRDefault="005157A2" w:rsidP="00FF158E">
            <w:pPr>
              <w:spacing w:after="0" w:line="240" w:lineRule="auto"/>
              <w:rPr>
                <w:rFonts w:ascii="Times New Roman" w:eastAsia="Times New Roman" w:hAnsi="Times New Roman"/>
                <w:b/>
                <w:sz w:val="20"/>
                <w:szCs w:val="20"/>
              </w:rPr>
            </w:pPr>
          </w:p>
          <w:p w14:paraId="7DB42A3F" w14:textId="77777777" w:rsidR="005157A2" w:rsidRDefault="005157A2" w:rsidP="00FF158E">
            <w:pPr>
              <w:spacing w:after="0" w:line="240" w:lineRule="auto"/>
              <w:rPr>
                <w:rFonts w:ascii="Times New Roman" w:eastAsia="Times New Roman" w:hAnsi="Times New Roman"/>
                <w:b/>
                <w:sz w:val="20"/>
                <w:szCs w:val="20"/>
              </w:rPr>
            </w:pPr>
          </w:p>
          <w:p w14:paraId="03C5BC89" w14:textId="77777777" w:rsidR="005157A2" w:rsidRDefault="005157A2" w:rsidP="00FF158E">
            <w:pPr>
              <w:spacing w:after="0" w:line="240" w:lineRule="auto"/>
              <w:rPr>
                <w:rFonts w:ascii="Times New Roman" w:eastAsia="Times New Roman" w:hAnsi="Times New Roman"/>
                <w:b/>
                <w:sz w:val="20"/>
                <w:szCs w:val="20"/>
              </w:rPr>
            </w:pPr>
          </w:p>
        </w:tc>
        <w:tc>
          <w:tcPr>
            <w:tcW w:w="276" w:type="dxa"/>
            <w:shd w:val="clear" w:color="auto" w:fill="auto"/>
          </w:tcPr>
          <w:p w14:paraId="53DE7ACE" w14:textId="77777777" w:rsidR="005157A2" w:rsidRDefault="005157A2" w:rsidP="00FF158E">
            <w:pPr>
              <w:spacing w:after="0" w:line="240" w:lineRule="auto"/>
              <w:rPr>
                <w:rFonts w:ascii="Times New Roman" w:eastAsia="Times New Roman" w:hAnsi="Times New Roman"/>
                <w:b/>
                <w:sz w:val="20"/>
                <w:szCs w:val="20"/>
              </w:rPr>
            </w:pPr>
          </w:p>
        </w:tc>
        <w:tc>
          <w:tcPr>
            <w:tcW w:w="1429" w:type="dxa"/>
            <w:tcBorders>
              <w:bottom w:val="single" w:sz="4" w:space="0" w:color="000000"/>
            </w:tcBorders>
            <w:shd w:val="clear" w:color="auto" w:fill="auto"/>
          </w:tcPr>
          <w:p w14:paraId="191A2308" w14:textId="77777777" w:rsidR="005157A2" w:rsidRDefault="005157A2" w:rsidP="00FF158E">
            <w:pPr>
              <w:spacing w:after="0" w:line="240" w:lineRule="auto"/>
              <w:rPr>
                <w:rFonts w:ascii="Times New Roman" w:eastAsia="Times New Roman" w:hAnsi="Times New Roman"/>
                <w:b/>
                <w:sz w:val="20"/>
                <w:szCs w:val="20"/>
              </w:rPr>
            </w:pPr>
          </w:p>
          <w:p w14:paraId="1ABE967E" w14:textId="77777777" w:rsidR="005157A2" w:rsidRDefault="005157A2" w:rsidP="00FF158E">
            <w:pPr>
              <w:spacing w:after="0" w:line="240" w:lineRule="auto"/>
              <w:rPr>
                <w:rFonts w:ascii="Times New Roman" w:eastAsia="Times New Roman" w:hAnsi="Times New Roman"/>
                <w:b/>
                <w:sz w:val="20"/>
                <w:szCs w:val="20"/>
              </w:rPr>
            </w:pPr>
          </w:p>
          <w:p w14:paraId="1CA0162D" w14:textId="77777777" w:rsidR="005157A2" w:rsidRDefault="005157A2" w:rsidP="00FF158E">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     </w:t>
            </w:r>
          </w:p>
        </w:tc>
      </w:tr>
      <w:tr w:rsidR="005157A2" w14:paraId="313E31AC" w14:textId="77777777" w:rsidTr="00FF158E">
        <w:tc>
          <w:tcPr>
            <w:tcW w:w="2916" w:type="dxa"/>
            <w:tcBorders>
              <w:top w:val="single" w:sz="4" w:space="0" w:color="000000"/>
            </w:tcBorders>
          </w:tcPr>
          <w:p w14:paraId="67340BDC" w14:textId="77777777" w:rsidR="005157A2" w:rsidRDefault="005157A2" w:rsidP="00FF15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vārds, uzvārds</w:t>
            </w:r>
          </w:p>
        </w:tc>
        <w:tc>
          <w:tcPr>
            <w:tcW w:w="275" w:type="dxa"/>
          </w:tcPr>
          <w:p w14:paraId="52B7D3C2" w14:textId="77777777" w:rsidR="005157A2" w:rsidRDefault="005157A2" w:rsidP="00FF158E">
            <w:pPr>
              <w:spacing w:after="0" w:line="240" w:lineRule="auto"/>
              <w:jc w:val="center"/>
              <w:rPr>
                <w:rFonts w:ascii="Times New Roman" w:eastAsia="Times New Roman" w:hAnsi="Times New Roman"/>
                <w:sz w:val="20"/>
                <w:szCs w:val="20"/>
              </w:rPr>
            </w:pPr>
          </w:p>
        </w:tc>
        <w:tc>
          <w:tcPr>
            <w:tcW w:w="2061" w:type="dxa"/>
            <w:tcBorders>
              <w:top w:val="single" w:sz="4" w:space="0" w:color="000000"/>
            </w:tcBorders>
            <w:shd w:val="clear" w:color="auto" w:fill="auto"/>
            <w:vAlign w:val="center"/>
          </w:tcPr>
          <w:p w14:paraId="71439556" w14:textId="77777777" w:rsidR="005157A2" w:rsidRDefault="005157A2" w:rsidP="00FF15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amats</w:t>
            </w:r>
          </w:p>
        </w:tc>
        <w:tc>
          <w:tcPr>
            <w:tcW w:w="276" w:type="dxa"/>
            <w:shd w:val="clear" w:color="auto" w:fill="auto"/>
            <w:vAlign w:val="center"/>
          </w:tcPr>
          <w:p w14:paraId="48C4F89B" w14:textId="77777777" w:rsidR="005157A2" w:rsidRDefault="005157A2" w:rsidP="00FF158E">
            <w:pPr>
              <w:spacing w:after="0" w:line="240" w:lineRule="auto"/>
              <w:jc w:val="center"/>
              <w:rPr>
                <w:rFonts w:ascii="Times New Roman" w:eastAsia="Times New Roman" w:hAnsi="Times New Roman"/>
                <w:sz w:val="20"/>
                <w:szCs w:val="20"/>
              </w:rPr>
            </w:pPr>
          </w:p>
        </w:tc>
        <w:tc>
          <w:tcPr>
            <w:tcW w:w="1839" w:type="dxa"/>
            <w:tcBorders>
              <w:top w:val="single" w:sz="4" w:space="0" w:color="000000"/>
            </w:tcBorders>
            <w:shd w:val="clear" w:color="auto" w:fill="auto"/>
            <w:vAlign w:val="center"/>
          </w:tcPr>
          <w:p w14:paraId="47822F98" w14:textId="77777777" w:rsidR="005157A2" w:rsidRDefault="005157A2" w:rsidP="00FF15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paraksts</w:t>
            </w:r>
          </w:p>
        </w:tc>
        <w:tc>
          <w:tcPr>
            <w:tcW w:w="276" w:type="dxa"/>
            <w:shd w:val="clear" w:color="auto" w:fill="auto"/>
            <w:vAlign w:val="center"/>
          </w:tcPr>
          <w:p w14:paraId="6868B987" w14:textId="77777777" w:rsidR="005157A2" w:rsidRDefault="005157A2" w:rsidP="00FF158E">
            <w:pPr>
              <w:spacing w:after="0" w:line="240" w:lineRule="auto"/>
              <w:jc w:val="center"/>
              <w:rPr>
                <w:rFonts w:ascii="Times New Roman" w:eastAsia="Times New Roman" w:hAnsi="Times New Roman"/>
                <w:sz w:val="20"/>
                <w:szCs w:val="20"/>
              </w:rPr>
            </w:pPr>
          </w:p>
        </w:tc>
        <w:tc>
          <w:tcPr>
            <w:tcW w:w="1429" w:type="dxa"/>
            <w:tcBorders>
              <w:top w:val="single" w:sz="4" w:space="0" w:color="000000"/>
            </w:tcBorders>
            <w:shd w:val="clear" w:color="auto" w:fill="auto"/>
            <w:vAlign w:val="center"/>
          </w:tcPr>
          <w:p w14:paraId="14A24BAF" w14:textId="77777777" w:rsidR="005157A2" w:rsidRDefault="005157A2" w:rsidP="00FF15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datums</w:t>
            </w:r>
          </w:p>
        </w:tc>
      </w:tr>
    </w:tbl>
    <w:p w14:paraId="3A0456B2" w14:textId="77777777" w:rsidR="00F115BA" w:rsidRDefault="00F115BA" w:rsidP="005157A2">
      <w:pPr>
        <w:spacing w:after="0" w:line="240" w:lineRule="auto"/>
      </w:pPr>
    </w:p>
    <w:sectPr w:rsidR="00F115B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9EE6" w16cex:dateUtc="2021-08-11T16:09:00Z"/>
  <w16cex:commentExtensible w16cex:durableId="24B25BD5" w16cex:dateUtc="2021-08-02T08:56:00Z"/>
  <w16cex:commentExtensible w16cex:durableId="24BD16FD" w16cex:dateUtc="2021-08-10T12:16:00Z"/>
  <w16cex:commentExtensible w16cex:durableId="24BD2B6C" w16cex:dateUtc="2021-08-10T13:44:00Z"/>
  <w16cex:commentExtensible w16cex:durableId="24BE9D01" w16cex:dateUtc="2021-08-11T16:01:00Z"/>
  <w16cex:commentExtensible w16cex:durableId="24BD182D" w16cex:dateUtc="2021-08-10T12:22:00Z"/>
  <w16cex:commentExtensible w16cex:durableId="24BE9D3F" w16cex:dateUtc="2021-08-11T16:02:00Z"/>
  <w16cex:commentExtensible w16cex:durableId="24E5BDF8" w16cex:dateUtc="2021-09-10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64CE2" w16cid:durableId="24BE9EE6"/>
  <w16cid:commentId w16cid:paraId="1D942490" w16cid:durableId="24E5BD17"/>
  <w16cid:commentId w16cid:paraId="7B0329C3" w16cid:durableId="24B25BD5"/>
  <w16cid:commentId w16cid:paraId="4B1F0EDC" w16cid:durableId="24E5BD19"/>
  <w16cid:commentId w16cid:paraId="57C62319" w16cid:durableId="24BD16FD"/>
  <w16cid:commentId w16cid:paraId="19D2A6C6" w16cid:durableId="24E5BD1B"/>
  <w16cid:commentId w16cid:paraId="72638CA1" w16cid:durableId="24BD2B6C"/>
  <w16cid:commentId w16cid:paraId="004D8C2F" w16cid:durableId="24E5BD1D"/>
  <w16cid:commentId w16cid:paraId="423A4D44" w16cid:durableId="24E5BD1E"/>
  <w16cid:commentId w16cid:paraId="2B07952E" w16cid:durableId="24BE9D01"/>
  <w16cid:commentId w16cid:paraId="43797CB4" w16cid:durableId="24E5BD20"/>
  <w16cid:commentId w16cid:paraId="0F4B54CA" w16cid:durableId="24BD182D"/>
  <w16cid:commentId w16cid:paraId="68D75E90" w16cid:durableId="24E5BD22"/>
  <w16cid:commentId w16cid:paraId="6ECADBA7" w16cid:durableId="24BE9D3F"/>
  <w16cid:commentId w16cid:paraId="5860E900" w16cid:durableId="24E5BD24"/>
  <w16cid:commentId w16cid:paraId="42F26D68" w16cid:durableId="24E5BD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91E2B" w14:textId="77777777" w:rsidR="004C056B" w:rsidRDefault="004C056B" w:rsidP="005157A2">
      <w:pPr>
        <w:spacing w:after="0" w:line="240" w:lineRule="auto"/>
      </w:pPr>
      <w:r>
        <w:separator/>
      </w:r>
    </w:p>
  </w:endnote>
  <w:endnote w:type="continuationSeparator" w:id="0">
    <w:p w14:paraId="3D690725" w14:textId="77777777" w:rsidR="004C056B" w:rsidRDefault="004C056B" w:rsidP="005157A2">
      <w:pPr>
        <w:spacing w:after="0" w:line="240" w:lineRule="auto"/>
      </w:pPr>
      <w:r>
        <w:continuationSeparator/>
      </w:r>
    </w:p>
  </w:endnote>
  <w:endnote w:type="continuationNotice" w:id="1">
    <w:p w14:paraId="26D306EA" w14:textId="77777777" w:rsidR="004C056B" w:rsidRDefault="004C05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21805" w14:textId="77777777" w:rsidR="004C056B" w:rsidRDefault="004C056B" w:rsidP="005157A2">
      <w:pPr>
        <w:spacing w:after="0" w:line="240" w:lineRule="auto"/>
      </w:pPr>
      <w:r>
        <w:separator/>
      </w:r>
    </w:p>
  </w:footnote>
  <w:footnote w:type="continuationSeparator" w:id="0">
    <w:p w14:paraId="3A73A18F" w14:textId="77777777" w:rsidR="004C056B" w:rsidRDefault="004C056B" w:rsidP="005157A2">
      <w:pPr>
        <w:spacing w:after="0" w:line="240" w:lineRule="auto"/>
      </w:pPr>
      <w:r>
        <w:continuationSeparator/>
      </w:r>
    </w:p>
  </w:footnote>
  <w:footnote w:type="continuationNotice" w:id="1">
    <w:p w14:paraId="6FA4017B" w14:textId="77777777" w:rsidR="004C056B" w:rsidRDefault="004C056B">
      <w:pPr>
        <w:spacing w:after="0" w:line="240" w:lineRule="auto"/>
      </w:pPr>
    </w:p>
  </w:footnote>
  <w:footnote w:id="2">
    <w:p w14:paraId="783E32D2" w14:textId="77777777" w:rsidR="004C1A91" w:rsidRDefault="004C1A91" w:rsidP="005157A2">
      <w:pPr>
        <w:pBdr>
          <w:top w:val="nil"/>
          <w:left w:val="nil"/>
          <w:bottom w:val="nil"/>
          <w:right w:val="nil"/>
          <w:between w:val="nil"/>
        </w:pBdr>
        <w:spacing w:after="0" w:line="240" w:lineRule="auto"/>
        <w:rPr>
          <w:rFonts w:ascii="Times New Roman" w:eastAsia="Times New Roman" w:hAnsi="Times New Roman"/>
          <w:color w:val="000000"/>
          <w:sz w:val="20"/>
          <w:szCs w:val="20"/>
        </w:rPr>
      </w:pPr>
      <w:r>
        <w:rPr>
          <w:rStyle w:val="FootnoteReference"/>
        </w:rPr>
        <w:footnoteRef/>
      </w:r>
      <w:r>
        <w:rPr>
          <w:rFonts w:ascii="Times New Roman" w:eastAsia="Times New Roman" w:hAnsi="Times New Roman"/>
          <w:color w:val="000000"/>
          <w:sz w:val="20"/>
          <w:szCs w:val="20"/>
        </w:rPr>
        <w:t xml:space="preserve"> Plašāka informācija pieejama </w:t>
      </w:r>
      <w:hyperlink r:id="rId1">
        <w:r>
          <w:rPr>
            <w:rFonts w:ascii="Times New Roman" w:eastAsia="Times New Roman" w:hAnsi="Times New Roman"/>
            <w:color w:val="0563C1"/>
            <w:sz w:val="20"/>
            <w:szCs w:val="20"/>
            <w:u w:val="single"/>
          </w:rPr>
          <w:t>http://www.liaa.gov.lv/lv/fondi/noderiga-informacija/de-minimis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747E"/>
    <w:multiLevelType w:val="multilevel"/>
    <w:tmpl w:val="92B2540E"/>
    <w:lvl w:ilvl="0">
      <w:start w:val="1"/>
      <w:numFmt w:val="decimal"/>
      <w:lvlText w:val="%1."/>
      <w:lvlJc w:val="left"/>
      <w:pPr>
        <w:ind w:left="810"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E144A8"/>
    <w:multiLevelType w:val="multilevel"/>
    <w:tmpl w:val="21F043EC"/>
    <w:lvl w:ilvl="0">
      <w:start w:val="1"/>
      <w:numFmt w:val="decimal"/>
      <w:lvlText w:val="%1."/>
      <w:lvlJc w:val="left"/>
      <w:pPr>
        <w:ind w:left="720" w:hanging="360"/>
      </w:pPr>
      <w:rPr>
        <w:i/>
      </w:rPr>
    </w:lvl>
    <w:lvl w:ilvl="1">
      <w:start w:val="1"/>
      <w:numFmt w:val="lowerLetter"/>
      <w:lvlText w:val="%2."/>
      <w:lvlJc w:val="left"/>
      <w:pPr>
        <w:ind w:left="1440" w:hanging="360"/>
      </w:pPr>
      <w:rPr>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FD64C7"/>
    <w:multiLevelType w:val="multilevel"/>
    <w:tmpl w:val="F6027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2MzU2NDCwMDM2NDZW0lEKTi0uzszPAykwrgUAuQeP3ywAAAA="/>
  </w:docVars>
  <w:rsids>
    <w:rsidRoot w:val="005157A2"/>
    <w:rsid w:val="00045DD8"/>
    <w:rsid w:val="000678BB"/>
    <w:rsid w:val="000678F2"/>
    <w:rsid w:val="000E30CF"/>
    <w:rsid w:val="000F0523"/>
    <w:rsid w:val="000F3D3F"/>
    <w:rsid w:val="00107E7D"/>
    <w:rsid w:val="00117ECA"/>
    <w:rsid w:val="00193166"/>
    <w:rsid w:val="001B66FE"/>
    <w:rsid w:val="00217E67"/>
    <w:rsid w:val="00241E4D"/>
    <w:rsid w:val="002C1497"/>
    <w:rsid w:val="002E48D2"/>
    <w:rsid w:val="002F6CF5"/>
    <w:rsid w:val="00353FB6"/>
    <w:rsid w:val="003648B8"/>
    <w:rsid w:val="003655D2"/>
    <w:rsid w:val="00381E95"/>
    <w:rsid w:val="00395F43"/>
    <w:rsid w:val="003C11DE"/>
    <w:rsid w:val="003F0941"/>
    <w:rsid w:val="00401260"/>
    <w:rsid w:val="0042310A"/>
    <w:rsid w:val="00465053"/>
    <w:rsid w:val="00497F3D"/>
    <w:rsid w:val="004C056B"/>
    <w:rsid w:val="004C1A91"/>
    <w:rsid w:val="004E2564"/>
    <w:rsid w:val="005019C2"/>
    <w:rsid w:val="005157A2"/>
    <w:rsid w:val="00550D51"/>
    <w:rsid w:val="0058391C"/>
    <w:rsid w:val="005B7030"/>
    <w:rsid w:val="005BB7C5"/>
    <w:rsid w:val="00611972"/>
    <w:rsid w:val="00623C39"/>
    <w:rsid w:val="00623E52"/>
    <w:rsid w:val="006274B6"/>
    <w:rsid w:val="00627724"/>
    <w:rsid w:val="0068377B"/>
    <w:rsid w:val="006D763C"/>
    <w:rsid w:val="006E2F05"/>
    <w:rsid w:val="00715073"/>
    <w:rsid w:val="00770D3E"/>
    <w:rsid w:val="00793F7E"/>
    <w:rsid w:val="008028C0"/>
    <w:rsid w:val="00802B58"/>
    <w:rsid w:val="00825B98"/>
    <w:rsid w:val="0085236D"/>
    <w:rsid w:val="008715AF"/>
    <w:rsid w:val="0090744C"/>
    <w:rsid w:val="00A1158E"/>
    <w:rsid w:val="00A47F03"/>
    <w:rsid w:val="00A559A8"/>
    <w:rsid w:val="00A93A35"/>
    <w:rsid w:val="00AC293E"/>
    <w:rsid w:val="00B05E13"/>
    <w:rsid w:val="00B22546"/>
    <w:rsid w:val="00B25332"/>
    <w:rsid w:val="00B678AD"/>
    <w:rsid w:val="00C11666"/>
    <w:rsid w:val="00C27B1E"/>
    <w:rsid w:val="00CC52F9"/>
    <w:rsid w:val="00CD5F18"/>
    <w:rsid w:val="00CE0E09"/>
    <w:rsid w:val="00D20EE6"/>
    <w:rsid w:val="00D76ED0"/>
    <w:rsid w:val="00DC1B9B"/>
    <w:rsid w:val="00E32FCE"/>
    <w:rsid w:val="00E563EF"/>
    <w:rsid w:val="00EC6586"/>
    <w:rsid w:val="00ED2A11"/>
    <w:rsid w:val="00ED7697"/>
    <w:rsid w:val="00F115BA"/>
    <w:rsid w:val="00F22B70"/>
    <w:rsid w:val="00F31BA6"/>
    <w:rsid w:val="00F953D1"/>
    <w:rsid w:val="00FA20E6"/>
    <w:rsid w:val="00FE662F"/>
    <w:rsid w:val="00FF0D32"/>
    <w:rsid w:val="00FF158E"/>
    <w:rsid w:val="1B7E3070"/>
    <w:rsid w:val="2514CBAE"/>
    <w:rsid w:val="2A5065C6"/>
    <w:rsid w:val="2F2190B8"/>
    <w:rsid w:val="32D429DE"/>
    <w:rsid w:val="3C35BB36"/>
    <w:rsid w:val="3C6E2CF6"/>
    <w:rsid w:val="53F92C6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1522"/>
  <w15:chartTrackingRefBased/>
  <w15:docId w15:val="{0ED05738-81D0-4F21-8BF1-AA273CD2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7A2"/>
    <w:pPr>
      <w:spacing w:after="200" w:line="276" w:lineRule="auto"/>
    </w:pPr>
    <w:rPr>
      <w:rFonts w:ascii="Calibri" w:eastAsia="Calibri" w:hAnsi="Calibri" w:cs="Times New Roman"/>
      <w:lang w:eastAsia="lv-LV"/>
    </w:rPr>
  </w:style>
  <w:style w:type="paragraph" w:styleId="Heading2">
    <w:name w:val="heading 2"/>
    <w:basedOn w:val="Normal"/>
    <w:next w:val="Normal"/>
    <w:link w:val="Heading2Char"/>
    <w:qFormat/>
    <w:rsid w:val="005157A2"/>
    <w:pPr>
      <w:keepNext/>
      <w:widowControl w:val="0"/>
      <w:spacing w:after="0" w:line="240" w:lineRule="auto"/>
      <w:ind w:left="7200"/>
      <w:jc w:val="both"/>
      <w:outlineLvl w:val="1"/>
    </w:pPr>
    <w:rPr>
      <w:rFonts w:ascii="Times New Roman" w:eastAsia="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57A2"/>
    <w:rPr>
      <w:rFonts w:ascii="Times New Roman" w:eastAsia="Times New Roman" w:hAnsi="Times New Roman" w:cs="Times New Roman"/>
      <w:sz w:val="28"/>
      <w:szCs w:val="20"/>
      <w:lang w:eastAsia="lv-LV"/>
    </w:rPr>
  </w:style>
  <w:style w:type="character" w:styleId="FootnoteReference">
    <w:name w:val="footnote reference"/>
    <w:basedOn w:val="DefaultParagraphFont"/>
    <w:semiHidden/>
    <w:unhideWhenUsed/>
    <w:rsid w:val="005157A2"/>
    <w:rPr>
      <w:vertAlign w:val="superscript"/>
    </w:rPr>
  </w:style>
  <w:style w:type="character" w:styleId="CommentReference">
    <w:name w:val="annotation reference"/>
    <w:basedOn w:val="DefaultParagraphFont"/>
    <w:uiPriority w:val="99"/>
    <w:semiHidden/>
    <w:unhideWhenUsed/>
    <w:rsid w:val="005B7030"/>
    <w:rPr>
      <w:sz w:val="16"/>
      <w:szCs w:val="16"/>
    </w:rPr>
  </w:style>
  <w:style w:type="paragraph" w:styleId="CommentText">
    <w:name w:val="annotation text"/>
    <w:basedOn w:val="Normal"/>
    <w:link w:val="CommentTextChar"/>
    <w:uiPriority w:val="99"/>
    <w:semiHidden/>
    <w:unhideWhenUsed/>
    <w:rsid w:val="005B7030"/>
    <w:pPr>
      <w:spacing w:line="240" w:lineRule="auto"/>
    </w:pPr>
    <w:rPr>
      <w:sz w:val="20"/>
      <w:szCs w:val="20"/>
    </w:rPr>
  </w:style>
  <w:style w:type="character" w:customStyle="1" w:styleId="CommentTextChar">
    <w:name w:val="Comment Text Char"/>
    <w:basedOn w:val="DefaultParagraphFont"/>
    <w:link w:val="CommentText"/>
    <w:uiPriority w:val="99"/>
    <w:semiHidden/>
    <w:rsid w:val="005B7030"/>
    <w:rPr>
      <w:rFonts w:ascii="Calibri" w:eastAsia="Calibri"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B7030"/>
    <w:rPr>
      <w:b/>
      <w:bCs/>
    </w:rPr>
  </w:style>
  <w:style w:type="character" w:customStyle="1" w:styleId="CommentSubjectChar">
    <w:name w:val="Comment Subject Char"/>
    <w:basedOn w:val="CommentTextChar"/>
    <w:link w:val="CommentSubject"/>
    <w:uiPriority w:val="99"/>
    <w:semiHidden/>
    <w:rsid w:val="005B7030"/>
    <w:rPr>
      <w:rFonts w:ascii="Calibri" w:eastAsia="Calibri" w:hAnsi="Calibri" w:cs="Times New Roman"/>
      <w:b/>
      <w:bCs/>
      <w:sz w:val="20"/>
      <w:szCs w:val="20"/>
      <w:lang w:eastAsia="lv-LV"/>
    </w:rPr>
  </w:style>
  <w:style w:type="paragraph" w:styleId="BalloonText">
    <w:name w:val="Balloon Text"/>
    <w:basedOn w:val="Normal"/>
    <w:link w:val="BalloonTextChar"/>
    <w:uiPriority w:val="99"/>
    <w:semiHidden/>
    <w:unhideWhenUsed/>
    <w:rsid w:val="005B7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030"/>
    <w:rPr>
      <w:rFonts w:ascii="Segoe UI" w:eastAsia="Calibri" w:hAnsi="Segoe UI" w:cs="Segoe UI"/>
      <w:sz w:val="18"/>
      <w:szCs w:val="18"/>
      <w:lang w:eastAsia="lv-LV"/>
    </w:rPr>
  </w:style>
  <w:style w:type="paragraph" w:customStyle="1" w:styleId="tv213">
    <w:name w:val="tv213"/>
    <w:basedOn w:val="Normal"/>
    <w:rsid w:val="00CE0E0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CE0E09"/>
    <w:rPr>
      <w:color w:val="0000FF"/>
      <w:u w:val="single"/>
    </w:rPr>
  </w:style>
  <w:style w:type="paragraph" w:styleId="ListParagraph">
    <w:name w:val="List Paragraph"/>
    <w:basedOn w:val="Normal"/>
    <w:uiPriority w:val="34"/>
    <w:qFormat/>
    <w:rsid w:val="00AC293E"/>
    <w:pPr>
      <w:ind w:left="720"/>
      <w:contextualSpacing/>
    </w:pPr>
  </w:style>
  <w:style w:type="paragraph" w:styleId="Header">
    <w:name w:val="header"/>
    <w:basedOn w:val="Normal"/>
    <w:link w:val="HeaderChar"/>
    <w:uiPriority w:val="99"/>
    <w:semiHidden/>
    <w:unhideWhenUsed/>
    <w:rsid w:val="00ED2A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2A11"/>
    <w:rPr>
      <w:rFonts w:ascii="Calibri" w:eastAsia="Calibri" w:hAnsi="Calibri" w:cs="Times New Roman"/>
      <w:lang w:eastAsia="lv-LV"/>
    </w:rPr>
  </w:style>
  <w:style w:type="paragraph" w:styleId="Footer">
    <w:name w:val="footer"/>
    <w:basedOn w:val="Normal"/>
    <w:link w:val="FooterChar"/>
    <w:uiPriority w:val="99"/>
    <w:semiHidden/>
    <w:unhideWhenUsed/>
    <w:rsid w:val="00ED2A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2A11"/>
    <w:rPr>
      <w:rFonts w:ascii="Calibri" w:eastAsia="Calibri" w:hAnsi="Calibri" w:cs="Times New Roman"/>
      <w:lang w:eastAsia="lv-LV"/>
    </w:rPr>
  </w:style>
  <w:style w:type="paragraph" w:styleId="Revision">
    <w:name w:val="Revision"/>
    <w:hidden/>
    <w:uiPriority w:val="99"/>
    <w:semiHidden/>
    <w:rsid w:val="004C1A91"/>
    <w:pPr>
      <w:spacing w:after="0" w:line="240" w:lineRule="auto"/>
    </w:pPr>
    <w:rPr>
      <w:rFonts w:ascii="Calibri" w:eastAsia="Calibri"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11788">
      <w:bodyDiv w:val="1"/>
      <w:marLeft w:val="0"/>
      <w:marRight w:val="0"/>
      <w:marTop w:val="0"/>
      <w:marBottom w:val="0"/>
      <w:divBdr>
        <w:top w:val="none" w:sz="0" w:space="0" w:color="auto"/>
        <w:left w:val="none" w:sz="0" w:space="0" w:color="auto"/>
        <w:bottom w:val="none" w:sz="0" w:space="0" w:color="auto"/>
        <w:right w:val="none" w:sz="0" w:space="0" w:color="auto"/>
      </w:divBdr>
    </w:div>
    <w:div w:id="559173694">
      <w:bodyDiv w:val="1"/>
      <w:marLeft w:val="0"/>
      <w:marRight w:val="0"/>
      <w:marTop w:val="0"/>
      <w:marBottom w:val="0"/>
      <w:divBdr>
        <w:top w:val="none" w:sz="0" w:space="0" w:color="auto"/>
        <w:left w:val="none" w:sz="0" w:space="0" w:color="auto"/>
        <w:bottom w:val="none" w:sz="0" w:space="0" w:color="auto"/>
        <w:right w:val="none" w:sz="0" w:space="0" w:color="auto"/>
      </w:divBdr>
      <w:divsChild>
        <w:div w:id="903880630">
          <w:marLeft w:val="0"/>
          <w:marRight w:val="0"/>
          <w:marTop w:val="240"/>
          <w:marBottom w:val="0"/>
          <w:divBdr>
            <w:top w:val="none" w:sz="0" w:space="0" w:color="auto"/>
            <w:left w:val="none" w:sz="0" w:space="0" w:color="auto"/>
            <w:bottom w:val="none" w:sz="0" w:space="0" w:color="auto"/>
            <w:right w:val="none" w:sz="0" w:space="0" w:color="auto"/>
          </w:divBdr>
        </w:div>
      </w:divsChild>
    </w:div>
    <w:div w:id="924923388">
      <w:bodyDiv w:val="1"/>
      <w:marLeft w:val="0"/>
      <w:marRight w:val="0"/>
      <w:marTop w:val="0"/>
      <w:marBottom w:val="0"/>
      <w:divBdr>
        <w:top w:val="none" w:sz="0" w:space="0" w:color="auto"/>
        <w:left w:val="none" w:sz="0" w:space="0" w:color="auto"/>
        <w:bottom w:val="none" w:sz="0" w:space="0" w:color="auto"/>
        <w:right w:val="none" w:sz="0" w:space="0" w:color="auto"/>
      </w:divBdr>
      <w:divsChild>
        <w:div w:id="913196919">
          <w:marLeft w:val="0"/>
          <w:marRight w:val="0"/>
          <w:marTop w:val="240"/>
          <w:marBottom w:val="0"/>
          <w:divBdr>
            <w:top w:val="none" w:sz="0" w:space="0" w:color="auto"/>
            <w:left w:val="none" w:sz="0" w:space="0" w:color="auto"/>
            <w:bottom w:val="none" w:sz="0" w:space="0" w:color="auto"/>
            <w:right w:val="none" w:sz="0" w:space="0" w:color="auto"/>
          </w:divBdr>
        </w:div>
      </w:divsChild>
    </w:div>
    <w:div w:id="12838825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88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3/1407/oj/?locale=LV"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eli/reg/2014/651/oj/?locale=LV"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oj/?local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3/1407/oj/?locale=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iaa.gov.lv/lv/fondi/noderiga-informacija/de-mini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C2377430D240439E124165BDC65D0C" ma:contentTypeVersion="12" ma:contentTypeDescription="Create a new document." ma:contentTypeScope="" ma:versionID="800f606c73265508c69c8bf3e3f7e325">
  <xsd:schema xmlns:xsd="http://www.w3.org/2001/XMLSchema" xmlns:xs="http://www.w3.org/2001/XMLSchema" xmlns:p="http://schemas.microsoft.com/office/2006/metadata/properties" xmlns:ns2="7f9907f0-75af-4843-a512-15b37145246c" xmlns:ns3="74c4ef18-b9f8-4cd3-9cbb-0af2ee003daa" targetNamespace="http://schemas.microsoft.com/office/2006/metadata/properties" ma:root="true" ma:fieldsID="be9cc6bb12ac965855a1bfdfeb2f67df" ns2:_="" ns3:_="">
    <xsd:import namespace="7f9907f0-75af-4843-a512-15b37145246c"/>
    <xsd:import namespace="74c4ef18-b9f8-4cd3-9cbb-0af2ee003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63583-0AF1-4EEB-A8F2-7E4584012CAE}">
  <ds:schemaRefs>
    <ds:schemaRef ds:uri="http://schemas.microsoft.com/sharepoint/v3/contenttype/forms"/>
  </ds:schemaRefs>
</ds:datastoreItem>
</file>

<file path=customXml/itemProps2.xml><?xml version="1.0" encoding="utf-8"?>
<ds:datastoreItem xmlns:ds="http://schemas.openxmlformats.org/officeDocument/2006/customXml" ds:itemID="{7702F68C-86FE-4DC8-BF09-DDF12BC1D5DD}">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74c4ef18-b9f8-4cd3-9cbb-0af2ee003daa"/>
    <ds:schemaRef ds:uri="7f9907f0-75af-4843-a512-15b37145246c"/>
  </ds:schemaRefs>
</ds:datastoreItem>
</file>

<file path=customXml/itemProps3.xml><?xml version="1.0" encoding="utf-8"?>
<ds:datastoreItem xmlns:ds="http://schemas.openxmlformats.org/officeDocument/2006/customXml" ds:itemID="{8B59133B-B0ED-463D-9C1A-616F06578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07f0-75af-4843-a512-15b37145246c"/>
    <ds:schemaRef ds:uri="74c4ef18-b9f8-4cd3-9cbb-0af2ee003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E37EE-C9BF-43F6-AA35-29FB77CD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5172</Words>
  <Characters>2949</Characters>
  <Application>Microsoft Office Word</Application>
  <DocSecurity>4</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Links>
    <vt:vector size="36" baseType="variant">
      <vt:variant>
        <vt:i4>4849757</vt:i4>
      </vt:variant>
      <vt:variant>
        <vt:i4>9</vt:i4>
      </vt:variant>
      <vt:variant>
        <vt:i4>0</vt:i4>
      </vt:variant>
      <vt:variant>
        <vt:i4>5</vt:i4>
      </vt:variant>
      <vt:variant>
        <vt:lpwstr>http://eur-lex.europa.eu/eli/reg/2013/1407/oj/?locale=LV</vt:lpwstr>
      </vt:variant>
      <vt:variant>
        <vt:lpwstr/>
      </vt:variant>
      <vt:variant>
        <vt:i4>4849757</vt:i4>
      </vt:variant>
      <vt:variant>
        <vt:i4>6</vt:i4>
      </vt:variant>
      <vt:variant>
        <vt:i4>0</vt:i4>
      </vt:variant>
      <vt:variant>
        <vt:i4>5</vt:i4>
      </vt:variant>
      <vt:variant>
        <vt:lpwstr>http://eur-lex.europa.eu/eli/reg/2013/1407/oj/?locale=LV</vt:lpwstr>
      </vt:variant>
      <vt:variant>
        <vt:lpwstr/>
      </vt:variant>
      <vt:variant>
        <vt:i4>6881343</vt:i4>
      </vt:variant>
      <vt:variant>
        <vt:i4>3</vt:i4>
      </vt:variant>
      <vt:variant>
        <vt:i4>0</vt:i4>
      </vt:variant>
      <vt:variant>
        <vt:i4>5</vt:i4>
      </vt:variant>
      <vt:variant>
        <vt:lpwstr>http://eur-lex.europa.eu/eli/reg/2014/651/oj/?locale=LV</vt:lpwstr>
      </vt:variant>
      <vt:variant>
        <vt:lpwstr/>
      </vt:variant>
      <vt:variant>
        <vt:i4>6881343</vt:i4>
      </vt:variant>
      <vt:variant>
        <vt:i4>0</vt:i4>
      </vt:variant>
      <vt:variant>
        <vt:i4>0</vt:i4>
      </vt:variant>
      <vt:variant>
        <vt:i4>5</vt:i4>
      </vt:variant>
      <vt:variant>
        <vt:lpwstr>http://eur-lex.europa.eu/eli/reg/2014/651/oj/?locale=LV</vt:lpwstr>
      </vt:variant>
      <vt:variant>
        <vt:lpwstr/>
      </vt:variant>
      <vt:variant>
        <vt:i4>7209070</vt:i4>
      </vt:variant>
      <vt:variant>
        <vt:i4>0</vt:i4>
      </vt:variant>
      <vt:variant>
        <vt:i4>0</vt:i4>
      </vt:variant>
      <vt:variant>
        <vt:i4>5</vt:i4>
      </vt:variant>
      <vt:variant>
        <vt:lpwstr>http://www.liaa.gov.lv/lv/fondi/noderiga-informacija/de-minimis</vt:lpwstr>
      </vt:variant>
      <vt:variant>
        <vt:lpwstr/>
      </vt:variant>
      <vt:variant>
        <vt:i4>4849757</vt:i4>
      </vt:variant>
      <vt:variant>
        <vt:i4>0</vt:i4>
      </vt:variant>
      <vt:variant>
        <vt:i4>0</vt:i4>
      </vt:variant>
      <vt:variant>
        <vt:i4>5</vt:i4>
      </vt:variant>
      <vt:variant>
        <vt:lpwstr>http://eur-lex.europa.eu/eli/reg/2013/1407/oj/?locale=LV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Pīlapa</dc:creator>
  <cp:keywords/>
  <dc:description/>
  <cp:lastModifiedBy>Danuta Pīlapa</cp:lastModifiedBy>
  <cp:revision>2</cp:revision>
  <dcterms:created xsi:type="dcterms:W3CDTF">2021-09-14T14:12:00Z</dcterms:created>
  <dcterms:modified xsi:type="dcterms:W3CDTF">2021-09-14T14:12:00Z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