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039C" w14:textId="77777777" w:rsidR="005D259A" w:rsidRPr="001513D5" w:rsidRDefault="005D259A" w:rsidP="005D259A">
      <w:pPr>
        <w:tabs>
          <w:tab w:val="num" w:pos="540"/>
        </w:tabs>
        <w:spacing w:before="160" w:after="160"/>
        <w:ind w:left="0" w:firstLine="0"/>
        <w:jc w:val="right"/>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 xml:space="preserve">  2.pielikums</w:t>
      </w:r>
    </w:p>
    <w:p w14:paraId="2FA54EAA" w14:textId="77777777" w:rsidR="005D259A" w:rsidRPr="001513D5" w:rsidRDefault="005D259A" w:rsidP="005D259A">
      <w:pPr>
        <w:tabs>
          <w:tab w:val="num" w:pos="540"/>
        </w:tabs>
        <w:spacing w:before="160" w:after="160"/>
        <w:ind w:left="0" w:firstLine="540"/>
        <w:jc w:val="center"/>
        <w:rPr>
          <w:rFonts w:ascii="Times New Roman" w:eastAsia="Times New Roman" w:hAnsi="Times New Roman" w:cs="Times New Roman"/>
          <w:b/>
          <w:bCs/>
          <w:sz w:val="24"/>
          <w:szCs w:val="24"/>
          <w:lang w:eastAsia="lv-LV"/>
        </w:rPr>
      </w:pPr>
      <w:bookmarkStart w:id="0" w:name="_Hlk43467796"/>
      <w:r w:rsidRPr="001513D5">
        <w:rPr>
          <w:rFonts w:ascii="Times New Roman" w:eastAsia="Times New Roman" w:hAnsi="Times New Roman" w:cs="Times New Roman"/>
          <w:b/>
          <w:bCs/>
          <w:sz w:val="24"/>
          <w:szCs w:val="24"/>
          <w:lang w:eastAsia="lv-LV"/>
        </w:rPr>
        <w:t>Pieteikuma atlases kritēriju piemērošanas metodika</w:t>
      </w:r>
      <w:bookmarkEnd w:id="0"/>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78"/>
        <w:gridCol w:w="5678"/>
      </w:tblGrid>
      <w:tr w:rsidR="005D259A" w:rsidRPr="001513D5" w14:paraId="481A777F" w14:textId="77777777" w:rsidTr="00847A3F">
        <w:tc>
          <w:tcPr>
            <w:tcW w:w="567" w:type="dxa"/>
            <w:vAlign w:val="center"/>
          </w:tcPr>
          <w:p w14:paraId="73C7A52C" w14:textId="77777777" w:rsidR="005D259A" w:rsidRPr="00724E86" w:rsidRDefault="005D259A" w:rsidP="00847A3F">
            <w:pPr>
              <w:ind w:left="-108" w:right="-108" w:firstLine="0"/>
              <w:jc w:val="center"/>
              <w:rPr>
                <w:rFonts w:ascii="Times New Roman" w:eastAsia="Times New Roman" w:hAnsi="Times New Roman" w:cs="Times New Roman"/>
                <w:b/>
                <w:bCs/>
                <w:lang w:eastAsia="lv-LV"/>
              </w:rPr>
            </w:pPr>
            <w:proofErr w:type="spellStart"/>
            <w:r w:rsidRPr="00724E86">
              <w:rPr>
                <w:rFonts w:ascii="Times New Roman" w:eastAsia="Times New Roman" w:hAnsi="Times New Roman" w:cs="Times New Roman"/>
                <w:b/>
                <w:bCs/>
                <w:lang w:eastAsia="lv-LV"/>
              </w:rPr>
              <w:t>Nr.p.k</w:t>
            </w:r>
            <w:proofErr w:type="spellEnd"/>
            <w:r w:rsidRPr="00724E86">
              <w:rPr>
                <w:rFonts w:ascii="Times New Roman" w:eastAsia="Times New Roman" w:hAnsi="Times New Roman" w:cs="Times New Roman"/>
                <w:b/>
                <w:bCs/>
                <w:lang w:eastAsia="lv-LV"/>
              </w:rPr>
              <w:t>.</w:t>
            </w:r>
          </w:p>
        </w:tc>
        <w:tc>
          <w:tcPr>
            <w:tcW w:w="3678" w:type="dxa"/>
            <w:vAlign w:val="center"/>
          </w:tcPr>
          <w:p w14:paraId="4D188BE2" w14:textId="77777777" w:rsidR="005D259A" w:rsidRPr="00724E86" w:rsidRDefault="005D259A" w:rsidP="00847A3F">
            <w:pPr>
              <w:ind w:left="0" w:firstLine="0"/>
              <w:jc w:val="center"/>
              <w:rPr>
                <w:rFonts w:ascii="Times New Roman" w:eastAsia="Times New Roman" w:hAnsi="Times New Roman" w:cs="Times New Roman"/>
                <w:b/>
                <w:bCs/>
                <w:lang w:eastAsia="lv-LV"/>
              </w:rPr>
            </w:pPr>
            <w:r w:rsidRPr="00724E86">
              <w:rPr>
                <w:rFonts w:ascii="Times New Roman" w:eastAsia="Times New Roman" w:hAnsi="Times New Roman" w:cs="Times New Roman"/>
                <w:b/>
                <w:bCs/>
                <w:lang w:eastAsia="lv-LV"/>
              </w:rPr>
              <w:t>Kritērijs</w:t>
            </w:r>
          </w:p>
        </w:tc>
        <w:tc>
          <w:tcPr>
            <w:tcW w:w="5678" w:type="dxa"/>
            <w:vAlign w:val="center"/>
          </w:tcPr>
          <w:p w14:paraId="41BB4387" w14:textId="77777777" w:rsidR="005D259A" w:rsidRPr="00724E86" w:rsidRDefault="005D259A" w:rsidP="00847A3F">
            <w:pPr>
              <w:ind w:left="0" w:firstLine="0"/>
              <w:jc w:val="center"/>
              <w:rPr>
                <w:rFonts w:ascii="Times New Roman" w:eastAsia="Times New Roman" w:hAnsi="Times New Roman" w:cs="Times New Roman"/>
                <w:b/>
                <w:bCs/>
                <w:lang w:eastAsia="lv-LV"/>
              </w:rPr>
            </w:pPr>
            <w:r w:rsidRPr="00724E86">
              <w:rPr>
                <w:rFonts w:ascii="Times New Roman" w:eastAsia="Times New Roman" w:hAnsi="Times New Roman" w:cs="Times New Roman"/>
                <w:b/>
                <w:bCs/>
                <w:lang w:eastAsia="lv-LV"/>
              </w:rPr>
              <w:t>Pārbauda</w:t>
            </w:r>
          </w:p>
        </w:tc>
      </w:tr>
      <w:tr w:rsidR="005D259A" w:rsidRPr="001513D5" w14:paraId="10924FBC" w14:textId="77777777" w:rsidTr="00847A3F">
        <w:tc>
          <w:tcPr>
            <w:tcW w:w="567" w:type="dxa"/>
          </w:tcPr>
          <w:p w14:paraId="3A671ABB" w14:textId="77777777" w:rsidR="005D259A" w:rsidRPr="00724E86" w:rsidRDefault="005D259A" w:rsidP="00847A3F">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1.</w:t>
            </w:r>
          </w:p>
        </w:tc>
        <w:tc>
          <w:tcPr>
            <w:tcW w:w="3678" w:type="dxa"/>
          </w:tcPr>
          <w:p w14:paraId="20793860" w14:textId="77777777" w:rsidR="005D259A" w:rsidRPr="00724E86" w:rsidRDefault="005D259A" w:rsidP="00847A3F">
            <w:pPr>
              <w:ind w:left="0" w:firstLine="0"/>
              <w:rPr>
                <w:rFonts w:ascii="Times New Roman" w:eastAsia="Calibri" w:hAnsi="Times New Roman" w:cs="Times New Roman"/>
                <w:lang w:eastAsia="lv-LV"/>
              </w:rPr>
            </w:pPr>
            <w:r w:rsidRPr="00724E86">
              <w:rPr>
                <w:rFonts w:ascii="Times New Roman" w:eastAsia="Calibri" w:hAnsi="Times New Roman" w:cs="Times New Roman"/>
                <w:spacing w:val="-2"/>
              </w:rPr>
              <w:t>Pieteikums ir iesniegts noteiktajā termiņā atbilstoši informācijai, kas publicēta tīmekļvietnē www.liaa.gov.lv saskaņā ar Ministru kabineta 2020. gada 11.augusta noteikumu Nr. 500 "Norvēģijas finanšu instrumenta 2014.–2021. gada perioda programmas "Uzņēmējdarbības attīstība, inovācijas un mazie un vidējie uzņēmumi" divpusējās sadarbības fonda iniciatīvu īstenošanas noteikumi" (turpmāk – noteikumi) 17. punktu.</w:t>
            </w:r>
          </w:p>
        </w:tc>
        <w:tc>
          <w:tcPr>
            <w:tcW w:w="5678" w:type="dxa"/>
          </w:tcPr>
          <w:p w14:paraId="65747671"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Pārbauda, vai pieteikums ir iesniegts noteiktajā termiņā. </w:t>
            </w:r>
          </w:p>
          <w:p w14:paraId="3FF0B666"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Pārbaudes lapas ailē „Piezīmes” norāda pieteikuma iesniegšanas datumu un laiku.</w:t>
            </w:r>
          </w:p>
        </w:tc>
      </w:tr>
      <w:tr w:rsidR="005D259A" w:rsidRPr="001513D5" w14:paraId="275DFFB8" w14:textId="77777777" w:rsidTr="00847A3F">
        <w:tc>
          <w:tcPr>
            <w:tcW w:w="567" w:type="dxa"/>
          </w:tcPr>
          <w:p w14:paraId="58098941" w14:textId="77777777" w:rsidR="005D259A" w:rsidRPr="00724E86" w:rsidRDefault="005D259A" w:rsidP="00847A3F">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2.</w:t>
            </w:r>
          </w:p>
        </w:tc>
        <w:tc>
          <w:tcPr>
            <w:tcW w:w="3678" w:type="dxa"/>
            <w:shd w:val="clear" w:color="auto" w:fill="auto"/>
          </w:tcPr>
          <w:p w14:paraId="00E37808" w14:textId="77777777" w:rsidR="005D259A" w:rsidRPr="00724E86" w:rsidRDefault="005D259A" w:rsidP="00847A3F">
            <w:pPr>
              <w:ind w:left="0" w:firstLine="0"/>
              <w:rPr>
                <w:rFonts w:ascii="Times New Roman" w:eastAsia="Calibri" w:hAnsi="Times New Roman" w:cs="Times New Roman"/>
                <w:lang w:eastAsia="lv-LV"/>
              </w:rPr>
            </w:pPr>
            <w:r w:rsidRPr="00724E86">
              <w:rPr>
                <w:rFonts w:ascii="Times New Roman" w:eastAsia="Calibri" w:hAnsi="Times New Roman" w:cs="Times New Roman"/>
                <w:lang w:eastAsia="lv-LV"/>
              </w:rPr>
              <w:t xml:space="preserve">Pieteikumu iesniedz Latvijas Republikas komercreģistrā reģistrēts komersants. </w:t>
            </w:r>
          </w:p>
        </w:tc>
        <w:tc>
          <w:tcPr>
            <w:tcW w:w="5678" w:type="dxa"/>
          </w:tcPr>
          <w:p w14:paraId="31807039"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Lursoft datu bāzē pārbauda, vai komersants  ir reģistrēts Latvijas Republikas Uzņēmumu reģistra komercreģistrā. Izdruku no datu bāzes Lursoft pievieno pieteikuma izvērtēšanas dokumentācijai.</w:t>
            </w:r>
          </w:p>
        </w:tc>
      </w:tr>
      <w:tr w:rsidR="005D259A" w:rsidRPr="001513D5" w14:paraId="7B3B7AB5" w14:textId="77777777" w:rsidTr="00847A3F">
        <w:tc>
          <w:tcPr>
            <w:tcW w:w="567" w:type="dxa"/>
          </w:tcPr>
          <w:p w14:paraId="5C27FFFC" w14:textId="77777777" w:rsidR="005D259A" w:rsidRPr="00724E86" w:rsidRDefault="005D259A" w:rsidP="00847A3F">
            <w:pPr>
              <w:ind w:left="0" w:firstLine="0"/>
              <w:jc w:val="center"/>
              <w:rPr>
                <w:rFonts w:ascii="Times New Roman" w:eastAsia="Times New Roman" w:hAnsi="Times New Roman" w:cs="Times New Roman"/>
                <w:bCs/>
                <w:lang w:eastAsia="lv-LV"/>
              </w:rPr>
            </w:pPr>
            <w:bookmarkStart w:id="1" w:name="_Hlk32491675"/>
            <w:r w:rsidRPr="00724E86">
              <w:rPr>
                <w:rFonts w:ascii="Times New Roman" w:eastAsia="Times New Roman" w:hAnsi="Times New Roman" w:cs="Times New Roman"/>
                <w:bCs/>
                <w:lang w:eastAsia="lv-LV"/>
              </w:rPr>
              <w:t>3.</w:t>
            </w:r>
          </w:p>
        </w:tc>
        <w:tc>
          <w:tcPr>
            <w:tcW w:w="3678" w:type="dxa"/>
            <w:shd w:val="clear" w:color="auto" w:fill="auto"/>
          </w:tcPr>
          <w:p w14:paraId="05944958" w14:textId="77777777" w:rsidR="005D259A" w:rsidRPr="00724E86" w:rsidRDefault="005D259A" w:rsidP="00847A3F">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 xml:space="preserve">Komersants  atbilst konkrētās aktivitātes nosacījumiem, mērķauditorijai un nozarei, ko noteicis programmas </w:t>
            </w:r>
            <w:proofErr w:type="spellStart"/>
            <w:r w:rsidRPr="00724E86">
              <w:rPr>
                <w:rFonts w:ascii="Times New Roman" w:eastAsia="Times New Roman" w:hAnsi="Times New Roman" w:cs="Times New Roman"/>
                <w:lang w:eastAsia="lv-LV"/>
              </w:rPr>
              <w:t>apsaimniekotājs</w:t>
            </w:r>
            <w:proofErr w:type="spellEnd"/>
            <w:r w:rsidRPr="00724E86">
              <w:rPr>
                <w:rFonts w:ascii="Times New Roman" w:eastAsia="Times New Roman" w:hAnsi="Times New Roman" w:cs="Times New Roman"/>
                <w:lang w:eastAsia="lv-LV"/>
              </w:rPr>
              <w:t>,</w:t>
            </w:r>
            <w:r w:rsidRPr="00724E86">
              <w:rPr>
                <w:rFonts w:ascii="Times New Roman" w:eastAsia="Calibri" w:hAnsi="Times New Roman" w:cs="Times New Roman"/>
                <w:lang w:eastAsia="lv-LV"/>
              </w:rPr>
              <w:t xml:space="preserve"> atbilstoši informācijai, kas publicēta </w:t>
            </w:r>
            <w:hyperlink r:id="rId5" w:history="1">
              <w:r w:rsidRPr="00724E86">
                <w:rPr>
                  <w:rFonts w:ascii="Times New Roman" w:eastAsia="Calibri" w:hAnsi="Times New Roman" w:cs="Times New Roman"/>
                  <w:color w:val="000000" w:themeColor="text1"/>
                  <w:u w:val="single"/>
                  <w:lang w:eastAsia="lv-LV"/>
                </w:rPr>
                <w:t>www.liaa.gov.lv</w:t>
              </w:r>
            </w:hyperlink>
            <w:r w:rsidRPr="00724E86">
              <w:rPr>
                <w:rFonts w:ascii="Times New Roman" w:eastAsia="Calibri" w:hAnsi="Times New Roman" w:cs="Times New Roman"/>
                <w:color w:val="000000" w:themeColor="text1"/>
                <w:lang w:eastAsia="lv-LV"/>
              </w:rPr>
              <w:t xml:space="preserve"> mājaslapā saskaņā ar MK noteikumu Nr. 500 17. punktu</w:t>
            </w:r>
            <w:r w:rsidRPr="00724E86">
              <w:rPr>
                <w:rFonts w:ascii="Times New Roman" w:eastAsia="Times New Roman" w:hAnsi="Times New Roman" w:cs="Times New Roman"/>
                <w:color w:val="000000" w:themeColor="text1"/>
                <w:lang w:eastAsia="lv-LV"/>
              </w:rPr>
              <w:t>.</w:t>
            </w:r>
          </w:p>
        </w:tc>
        <w:tc>
          <w:tcPr>
            <w:tcW w:w="5678" w:type="dxa"/>
          </w:tcPr>
          <w:p w14:paraId="24CE6839"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Pārbauda, vai Pieteikums ir pilnībā aizpildīts un tas atbilst iniciatīvas nosacījumiem, mērķauditorijai un atbalstāmai nozarei. </w:t>
            </w:r>
          </w:p>
          <w:p w14:paraId="1D810F7A" w14:textId="77777777" w:rsidR="005D259A" w:rsidRPr="00724E86" w:rsidRDefault="005D259A" w:rsidP="00847A3F">
            <w:pPr>
              <w:ind w:left="0" w:firstLine="0"/>
              <w:rPr>
                <w:rFonts w:ascii="Times New Roman" w:eastAsia="Times New Roman" w:hAnsi="Times New Roman" w:cs="Times New Roman"/>
                <w:lang w:eastAsia="lv-LV"/>
              </w:rPr>
            </w:pPr>
          </w:p>
        </w:tc>
      </w:tr>
      <w:bookmarkEnd w:id="1"/>
      <w:tr w:rsidR="005D259A" w:rsidRPr="001513D5" w14:paraId="2E373631" w14:textId="77777777" w:rsidTr="00847A3F">
        <w:tc>
          <w:tcPr>
            <w:tcW w:w="567" w:type="dxa"/>
          </w:tcPr>
          <w:p w14:paraId="33DF6538" w14:textId="77777777" w:rsidR="005D259A" w:rsidRPr="00724E86" w:rsidRDefault="005D259A" w:rsidP="00847A3F">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4.</w:t>
            </w:r>
          </w:p>
        </w:tc>
        <w:tc>
          <w:tcPr>
            <w:tcW w:w="3678" w:type="dxa"/>
          </w:tcPr>
          <w:p w14:paraId="1C3AEBBD" w14:textId="77777777" w:rsidR="005D259A" w:rsidRPr="00724E86" w:rsidRDefault="005D259A" w:rsidP="00847A3F">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 xml:space="preserve">Komersantam nav noteiktas Starptautisko un Latvijas Republikas nacionālo sankciju likuma </w:t>
            </w:r>
            <w:r w:rsidRPr="00724E86">
              <w:rPr>
                <w:rFonts w:ascii="Times New Roman" w:eastAsia="Times New Roman" w:hAnsi="Times New Roman" w:cs="Times New Roman"/>
                <w:shd w:val="clear" w:color="auto" w:fill="FFFFFF"/>
                <w:lang w:eastAsia="lv-LV"/>
              </w:rPr>
              <w:t>11.</w:t>
            </w:r>
            <w:r w:rsidRPr="00724E86">
              <w:rPr>
                <w:rFonts w:ascii="Times New Roman" w:eastAsia="Times New Roman" w:hAnsi="Times New Roman" w:cs="Times New Roman"/>
                <w:shd w:val="clear" w:color="auto" w:fill="FFFFFF"/>
                <w:vertAlign w:val="superscript"/>
                <w:lang w:eastAsia="lv-LV"/>
              </w:rPr>
              <w:t>2 </w:t>
            </w:r>
            <w:r w:rsidRPr="00724E86">
              <w:rPr>
                <w:rFonts w:ascii="Times New Roman" w:eastAsia="Times New Roman" w:hAnsi="Times New Roman" w:cs="Times New Roman"/>
                <w:shd w:val="clear" w:color="auto" w:fill="FFFFFF"/>
                <w:lang w:eastAsia="lv-LV"/>
              </w:rPr>
              <w:t>pantā noteiktās sankcijas</w:t>
            </w:r>
            <w:r w:rsidRPr="00724E86">
              <w:rPr>
                <w:rFonts w:ascii="Times New Roman" w:eastAsia="Calibri" w:hAnsi="Times New Roman" w:cs="Times New Roman"/>
                <w:lang w:eastAsia="lv-LV"/>
              </w:rPr>
              <w:t>.</w:t>
            </w:r>
          </w:p>
        </w:tc>
        <w:tc>
          <w:tcPr>
            <w:tcW w:w="5678" w:type="dxa"/>
          </w:tcPr>
          <w:p w14:paraId="1B7275B3"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bCs/>
                <w:lang w:eastAsia="lv-LV"/>
              </w:rPr>
              <w:t xml:space="preserve">Pārbauda Lursoft sankciju katalogā, vai komersants, tā valdes loceklim, patiesā labuma guvējam, </w:t>
            </w:r>
            <w:proofErr w:type="spellStart"/>
            <w:r w:rsidRPr="00724E86">
              <w:rPr>
                <w:rFonts w:ascii="Times New Roman" w:eastAsia="Times New Roman" w:hAnsi="Times New Roman" w:cs="Times New Roman"/>
                <w:bCs/>
                <w:lang w:eastAsia="lv-LV"/>
              </w:rPr>
              <w:t>pārstāvēttiesīgai</w:t>
            </w:r>
            <w:proofErr w:type="spellEnd"/>
            <w:r w:rsidRPr="00724E86">
              <w:rPr>
                <w:rFonts w:ascii="Times New Roman" w:eastAsia="Times New Roman" w:hAnsi="Times New Roman" w:cs="Times New Roman"/>
                <w:bCs/>
                <w:lang w:eastAsia="lv-LV"/>
              </w:rPr>
              <w:t xml:space="preserve"> personai vai prokūristam, vai personai, kura ir pilnvarota pārstāvēt</w:t>
            </w:r>
            <w:r w:rsidRPr="00724E86">
              <w:rPr>
                <w:rFonts w:ascii="Times New Roman" w:eastAsia="Times New Roman" w:hAnsi="Times New Roman" w:cs="Times New Roman"/>
                <w:lang w:eastAsia="lv-LV"/>
              </w:rPr>
              <w:t xml:space="preserve"> atbalsta pretendentu darbībās, kas saistītas ar filiāli, nav noteiktas starptautiskās vai nacionālās sankcijas vai būtiskas finanšu un kapitāla tirgus intereses ietekmējošas Eiropas Savienības vai Ziemeļatlantijas līguma organizācijas dalībvalsts sankcijas.</w:t>
            </w:r>
          </w:p>
          <w:p w14:paraId="111A04CF"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Izdruku no datu bāzes Lursoft pievieno pieteikuma izvērtēšanas dokumentācijai.</w:t>
            </w:r>
          </w:p>
        </w:tc>
      </w:tr>
      <w:tr w:rsidR="005D259A" w:rsidRPr="001513D5" w14:paraId="60908E48" w14:textId="77777777" w:rsidTr="00847A3F">
        <w:tc>
          <w:tcPr>
            <w:tcW w:w="567" w:type="dxa"/>
          </w:tcPr>
          <w:p w14:paraId="1726CA19" w14:textId="77777777" w:rsidR="005D259A" w:rsidRPr="00724E86" w:rsidRDefault="005D259A" w:rsidP="00847A3F">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5.</w:t>
            </w:r>
          </w:p>
        </w:tc>
        <w:tc>
          <w:tcPr>
            <w:tcW w:w="3678" w:type="dxa"/>
          </w:tcPr>
          <w:p w14:paraId="4623E1D2"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Komersantam ar tiesas spriedumu nav pasludināts maksātnespējas process, ar tiesas spriedumu netiek īstenots tiesiskās aizsardzības process vai </w:t>
            </w:r>
            <w:proofErr w:type="spellStart"/>
            <w:r w:rsidRPr="00724E86">
              <w:rPr>
                <w:rFonts w:ascii="Times New Roman" w:eastAsia="Times New Roman" w:hAnsi="Times New Roman" w:cs="Times New Roman"/>
                <w:lang w:eastAsia="lv-LV"/>
              </w:rPr>
              <w:t>ārpustiesas</w:t>
            </w:r>
            <w:proofErr w:type="spellEnd"/>
            <w:r w:rsidRPr="00724E86">
              <w:rPr>
                <w:rFonts w:ascii="Times New Roman" w:eastAsia="Times New Roman" w:hAnsi="Times New Roman" w:cs="Times New Roman"/>
                <w:lang w:eastAsia="lv-LV"/>
              </w:rPr>
              <w:t xml:space="preserve"> tiesiskās aizsardzības process un tā saimnieciskā darbība nav izbeigta vai apturēta.</w:t>
            </w:r>
          </w:p>
        </w:tc>
        <w:tc>
          <w:tcPr>
            <w:tcW w:w="5678" w:type="dxa"/>
          </w:tcPr>
          <w:p w14:paraId="699B0CBA"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bCs/>
                <w:lang w:eastAsia="lv-LV"/>
              </w:rPr>
              <w:t xml:space="preserve">Pārliecinās Lursoft datu bāzē, vai </w:t>
            </w:r>
            <w:r w:rsidRPr="00724E86">
              <w:rPr>
                <w:rFonts w:ascii="Times New Roman" w:eastAsia="Times New Roman" w:hAnsi="Times New Roman" w:cs="Times New Roman"/>
                <w:lang w:eastAsia="lv-LV"/>
              </w:rPr>
              <w:t xml:space="preserve">komersantam ar tiesas spriedumu nav pasludināts par maksātnespējīgu un ar tiesas spriedumu netiek īstenots tiesiskās aizsardzības process, vai ar tiesas lēmumu netiek īstenots </w:t>
            </w:r>
            <w:proofErr w:type="spellStart"/>
            <w:r w:rsidRPr="00724E86">
              <w:rPr>
                <w:rFonts w:ascii="Times New Roman" w:eastAsia="Times New Roman" w:hAnsi="Times New Roman" w:cs="Times New Roman"/>
                <w:lang w:eastAsia="lv-LV"/>
              </w:rPr>
              <w:t>ārpustiesas</w:t>
            </w:r>
            <w:proofErr w:type="spellEnd"/>
            <w:r w:rsidRPr="00724E86">
              <w:rPr>
                <w:rFonts w:ascii="Times New Roman" w:eastAsia="Times New Roman" w:hAnsi="Times New Roman" w:cs="Times New Roman"/>
                <w:lang w:eastAsia="lv-LV"/>
              </w:rPr>
              <w:t xml:space="preserve"> tiesiskā aizsardzības process vai tā saimnieciskā darbība nav izbeigta vai apturēta.</w:t>
            </w:r>
          </w:p>
          <w:p w14:paraId="7C443ACC"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Izdruku no datu bāzes Lursoft pievieno pieteikuma izvērtēšanas dokumentācijai.</w:t>
            </w:r>
          </w:p>
        </w:tc>
      </w:tr>
      <w:tr w:rsidR="005D259A" w:rsidRPr="001513D5" w14:paraId="2AE2D0EF" w14:textId="77777777" w:rsidTr="00847A3F">
        <w:tc>
          <w:tcPr>
            <w:tcW w:w="567" w:type="dxa"/>
          </w:tcPr>
          <w:p w14:paraId="24AF48D5" w14:textId="77777777" w:rsidR="005D259A" w:rsidRPr="00724E86" w:rsidRDefault="005D259A" w:rsidP="00847A3F">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lastRenderedPageBreak/>
              <w:t>6.</w:t>
            </w:r>
          </w:p>
        </w:tc>
        <w:tc>
          <w:tcPr>
            <w:tcW w:w="3678" w:type="dxa"/>
            <w:shd w:val="clear" w:color="auto" w:fill="auto"/>
          </w:tcPr>
          <w:p w14:paraId="7389E3B3"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Komersants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panta otrajā daļā minētā noziedzīgā nodarījuma izdarīšanu vai tam nav piemēroti piespiedu ietekmēšanas līdzekļi par minētā noziedzīgā nodarījuma izdarīšanu.</w:t>
            </w:r>
          </w:p>
        </w:tc>
        <w:tc>
          <w:tcPr>
            <w:tcW w:w="5678" w:type="dxa"/>
          </w:tcPr>
          <w:p w14:paraId="0BF13F72" w14:textId="77777777" w:rsidR="005D259A" w:rsidRPr="00724E86" w:rsidRDefault="005D259A" w:rsidP="00847A3F">
            <w:pPr>
              <w:tabs>
                <w:tab w:val="left" w:pos="706"/>
              </w:tabs>
              <w:ind w:left="0" w:firstLine="0"/>
              <w:rPr>
                <w:rFonts w:ascii="Times New Roman" w:eastAsia="Times New Roman" w:hAnsi="Times New Roman" w:cs="Times New Roman"/>
                <w:u w:val="single"/>
                <w:lang w:eastAsia="lv-LV"/>
              </w:rPr>
            </w:pPr>
            <w:r w:rsidRPr="00724E86">
              <w:rPr>
                <w:rFonts w:ascii="Times New Roman" w:eastAsia="Times New Roman" w:hAnsi="Times New Roman" w:cs="Times New Roman"/>
                <w:lang w:eastAsia="lv-LV"/>
              </w:rPr>
              <w:t xml:space="preserve">Pārbauda </w:t>
            </w:r>
            <w:proofErr w:type="spellStart"/>
            <w:r w:rsidRPr="00724E86">
              <w:rPr>
                <w:rFonts w:ascii="Times New Roman" w:eastAsia="Times New Roman" w:hAnsi="Times New Roman" w:cs="Times New Roman"/>
                <w:lang w:eastAsia="lv-LV"/>
              </w:rPr>
              <w:t>Iekšlietu</w:t>
            </w:r>
            <w:proofErr w:type="spellEnd"/>
            <w:r w:rsidRPr="00724E86">
              <w:rPr>
                <w:rFonts w:ascii="Times New Roman" w:eastAsia="Times New Roman" w:hAnsi="Times New Roman" w:cs="Times New Roman"/>
                <w:lang w:eastAsia="lv-LV"/>
              </w:rPr>
              <w:t xml:space="preserve"> ministrijas datu bāzē, vai komersants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panta otrajā daļā minētā noziedzīgā nodarījuma izdarīšanu un vai tam nav piemēroti piespiedu ietekmēšanas līdzekļi par minētā noziedzīgā nodarījuma izdarīšanu.</w:t>
            </w:r>
          </w:p>
          <w:p w14:paraId="411B9DCE" w14:textId="77777777" w:rsidR="005D259A" w:rsidRPr="00724E86" w:rsidRDefault="005D259A" w:rsidP="00847A3F">
            <w:pPr>
              <w:ind w:left="0" w:firstLine="0"/>
              <w:rPr>
                <w:rFonts w:ascii="Times New Roman" w:eastAsia="Times New Roman" w:hAnsi="Times New Roman" w:cs="Times New Roman"/>
                <w:lang w:eastAsia="lv-LV"/>
              </w:rPr>
            </w:pPr>
          </w:p>
          <w:p w14:paraId="5B81B3D0"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Izdruku no datu bāzes „Sodu reģistrs” pievieno pieteikuma izvērtēšanas dokumentācijai.</w:t>
            </w:r>
          </w:p>
          <w:p w14:paraId="19DC1373" w14:textId="77777777" w:rsidR="005D259A" w:rsidRPr="00724E86" w:rsidRDefault="005D259A" w:rsidP="00847A3F">
            <w:pPr>
              <w:ind w:left="0" w:firstLine="0"/>
              <w:rPr>
                <w:rFonts w:ascii="Times New Roman" w:eastAsia="Times New Roman" w:hAnsi="Times New Roman" w:cs="Times New Roman"/>
                <w:lang w:eastAsia="lv-LV"/>
              </w:rPr>
            </w:pPr>
          </w:p>
        </w:tc>
      </w:tr>
      <w:tr w:rsidR="005D259A" w:rsidRPr="001513D5" w14:paraId="13672F10" w14:textId="77777777" w:rsidTr="00847A3F">
        <w:tc>
          <w:tcPr>
            <w:tcW w:w="567" w:type="dxa"/>
          </w:tcPr>
          <w:p w14:paraId="5A763677" w14:textId="77777777" w:rsidR="005D259A" w:rsidRPr="00724E86" w:rsidRDefault="005D259A" w:rsidP="00847A3F">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7.</w:t>
            </w:r>
          </w:p>
        </w:tc>
        <w:tc>
          <w:tcPr>
            <w:tcW w:w="3678" w:type="dxa"/>
            <w:shd w:val="clear" w:color="auto" w:fill="auto"/>
          </w:tcPr>
          <w:p w14:paraId="041464AD" w14:textId="77777777" w:rsidR="005D259A" w:rsidRPr="00724E86" w:rsidRDefault="005D259A" w:rsidP="00847A3F">
            <w:pPr>
              <w:ind w:left="0" w:firstLine="0"/>
              <w:rPr>
                <w:rFonts w:ascii="Times New Roman" w:eastAsia="Calibri" w:hAnsi="Times New Roman" w:cs="Times New Roman"/>
                <w:lang w:eastAsia="lv-LV"/>
              </w:rPr>
            </w:pPr>
            <w:r w:rsidRPr="00724E86">
              <w:rPr>
                <w:rFonts w:ascii="Times New Roman" w:eastAsia="Calibri" w:hAnsi="Times New Roman" w:cs="Times New Roman"/>
                <w:lang w:eastAsia="lv-LV"/>
              </w:rPr>
              <w:t xml:space="preserve">Pieteikums ir noformēts atbilstoši Latvijas Republikas normatīvo aktu prasībām par dokumentu izstrādāšanu un noformēšanu, kā arī tas ir sagatavots </w:t>
            </w:r>
            <w:r w:rsidRPr="00724E86">
              <w:rPr>
                <w:rFonts w:ascii="Times New Roman" w:eastAsia="Calibri" w:hAnsi="Times New Roman" w:cs="Times New Roman"/>
                <w:color w:val="000000" w:themeColor="text1"/>
                <w:lang w:eastAsia="lv-LV"/>
              </w:rPr>
              <w:t>atbilstoši MK noteikumu Nr. 500 18.1. apakšpunktā norādītajai pieteikuma veidlapai un ir norādīta informācija atbilstoši MK noteikumu Nr. 500 18.2. apakšpunktam.</w:t>
            </w:r>
          </w:p>
        </w:tc>
        <w:tc>
          <w:tcPr>
            <w:tcW w:w="5678" w:type="dxa"/>
          </w:tcPr>
          <w:p w14:paraId="1D66F47A" w14:textId="77777777" w:rsidR="005D259A" w:rsidRPr="00724E86" w:rsidRDefault="005D259A" w:rsidP="00847A3F">
            <w:pPr>
              <w:widowControl w:val="0"/>
              <w:autoSpaceDE w:val="0"/>
              <w:autoSpaceDN w:val="0"/>
              <w:adjustRightInd w:val="0"/>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Pārbauda, vai: </w:t>
            </w:r>
          </w:p>
          <w:p w14:paraId="11BDA592" w14:textId="77777777" w:rsidR="005D259A" w:rsidRPr="00724E86" w:rsidRDefault="005D259A" w:rsidP="005D259A">
            <w:pPr>
              <w:widowControl w:val="0"/>
              <w:numPr>
                <w:ilvl w:val="0"/>
                <w:numId w:val="1"/>
              </w:numPr>
              <w:tabs>
                <w:tab w:val="num" w:pos="432"/>
              </w:tabs>
              <w:autoSpaceDE w:val="0"/>
              <w:autoSpaceDN w:val="0"/>
              <w:adjustRightInd w:val="0"/>
              <w:ind w:left="432"/>
              <w:jc w:val="left"/>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persona, kura ir parakstījusi pieteikumu un papildus iesniedzamos dokumentus, ir </w:t>
            </w:r>
            <w:proofErr w:type="spellStart"/>
            <w:r w:rsidRPr="00724E86">
              <w:rPr>
                <w:rFonts w:ascii="Times New Roman" w:eastAsia="Times New Roman" w:hAnsi="Times New Roman" w:cs="Times New Roman"/>
                <w:lang w:eastAsia="lv-LV"/>
              </w:rPr>
              <w:t>paraksttiesīgā</w:t>
            </w:r>
            <w:proofErr w:type="spellEnd"/>
            <w:r w:rsidRPr="00724E86">
              <w:rPr>
                <w:rFonts w:ascii="Times New Roman" w:eastAsia="Times New Roman" w:hAnsi="Times New Roman" w:cs="Times New Roman"/>
                <w:lang w:eastAsia="lv-LV"/>
              </w:rPr>
              <w:t xml:space="preserve"> persona saskaņā ar Lursoft datubāzē esošajiem datiem. Ja konstatē, ka pieteikumu ir parakstījusi pilnvarotā persona, pārliecinās, ka ir iesniegta pilnvara, ar kuru piešķirtas tiesības pieteikumu parakstīt kādai citai personai;</w:t>
            </w:r>
          </w:p>
          <w:p w14:paraId="33857CD3" w14:textId="77777777" w:rsidR="005D259A" w:rsidRPr="00724E86" w:rsidRDefault="005D259A" w:rsidP="005D259A">
            <w:pPr>
              <w:widowControl w:val="0"/>
              <w:numPr>
                <w:ilvl w:val="0"/>
                <w:numId w:val="1"/>
              </w:numPr>
              <w:tabs>
                <w:tab w:val="num" w:pos="432"/>
              </w:tabs>
              <w:autoSpaceDE w:val="0"/>
              <w:autoSpaceDN w:val="0"/>
              <w:adjustRightInd w:val="0"/>
              <w:ind w:left="432"/>
              <w:jc w:val="left"/>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pieteikums ir noformēts atbilstoši Latvijas Republikas normatīvo aktu prasībām par dokumentu izstrādāšanu un noformēšanu;</w:t>
            </w:r>
          </w:p>
          <w:p w14:paraId="231279A1" w14:textId="77777777" w:rsidR="005D259A" w:rsidRPr="00724E86" w:rsidRDefault="005D259A" w:rsidP="005D259A">
            <w:pPr>
              <w:widowControl w:val="0"/>
              <w:numPr>
                <w:ilvl w:val="0"/>
                <w:numId w:val="1"/>
              </w:numPr>
              <w:tabs>
                <w:tab w:val="num" w:pos="432"/>
              </w:tabs>
              <w:autoSpaceDE w:val="0"/>
              <w:autoSpaceDN w:val="0"/>
              <w:adjustRightInd w:val="0"/>
              <w:ind w:left="432"/>
              <w:jc w:val="left"/>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pieteikums ir aizpildīts datorrakstā un latviešu valodā;</w:t>
            </w:r>
          </w:p>
          <w:p w14:paraId="16D0DA33" w14:textId="77777777" w:rsidR="005D259A" w:rsidRPr="00724E86" w:rsidRDefault="005D259A" w:rsidP="005D259A">
            <w:pPr>
              <w:widowControl w:val="0"/>
              <w:numPr>
                <w:ilvl w:val="0"/>
                <w:numId w:val="1"/>
              </w:numPr>
              <w:tabs>
                <w:tab w:val="num" w:pos="432"/>
              </w:tabs>
              <w:autoSpaceDE w:val="0"/>
              <w:autoSpaceDN w:val="0"/>
              <w:adjustRightInd w:val="0"/>
              <w:ind w:left="432"/>
              <w:jc w:val="left"/>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ir iesniegti visi papildus iesniedzamie dokumenti.</w:t>
            </w:r>
          </w:p>
          <w:p w14:paraId="654F9FA8"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Ja pieteikums ir iesniegts elektroniskā formātā, tad pārbauda, vai pieteikums ir parakstīts ar drošu elektronisko parakstu un apliecināts ar atbilstošu laika zīmogu.</w:t>
            </w:r>
          </w:p>
          <w:p w14:paraId="3AACD4A9"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Pārliecinās, vai komersants pieteikumam ir pievienojis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minimis</w:t>
            </w:r>
            <w:proofErr w:type="spellEnd"/>
            <w:r w:rsidRPr="00724E86">
              <w:rPr>
                <w:rFonts w:ascii="Times New Roman" w:eastAsia="Times New Roman" w:hAnsi="Times New Roman" w:cs="Times New Roman"/>
                <w:i/>
                <w:iCs/>
                <w:lang w:eastAsia="lv-LV"/>
              </w:rPr>
              <w:t xml:space="preserve"> </w:t>
            </w:r>
            <w:r w:rsidRPr="00724E86">
              <w:rPr>
                <w:rFonts w:ascii="Times New Roman" w:eastAsia="Times New Roman" w:hAnsi="Times New Roman" w:cs="Times New Roman"/>
                <w:lang w:eastAsia="lv-LV"/>
              </w:rPr>
              <w:t xml:space="preserve">atbalsta uzskaites sistēmā sagatavotu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minimis</w:t>
            </w:r>
            <w:proofErr w:type="spellEnd"/>
            <w:r w:rsidRPr="00724E86">
              <w:rPr>
                <w:rFonts w:ascii="Times New Roman" w:eastAsia="Times New Roman" w:hAnsi="Times New Roman" w:cs="Times New Roman"/>
                <w:lang w:eastAsia="lv-LV"/>
              </w:rPr>
              <w:t xml:space="preserve"> uzskaites veidlapas izdruku vai pieteikumā norādījis</w:t>
            </w:r>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minimis</w:t>
            </w:r>
            <w:proofErr w:type="spellEnd"/>
            <w:r w:rsidRPr="00724E86">
              <w:rPr>
                <w:rFonts w:ascii="Times New Roman" w:eastAsia="Times New Roman" w:hAnsi="Times New Roman" w:cs="Times New Roman"/>
                <w:i/>
                <w:iCs/>
                <w:lang w:eastAsia="lv-LV"/>
              </w:rPr>
              <w:t xml:space="preserve"> </w:t>
            </w:r>
            <w:r w:rsidRPr="00724E86">
              <w:rPr>
                <w:rFonts w:ascii="Times New Roman" w:eastAsia="Times New Roman" w:hAnsi="Times New Roman" w:cs="Times New Roman"/>
                <w:lang w:eastAsia="lv-LV"/>
              </w:rPr>
              <w:t>atbalsta uzskaites sistēmā</w:t>
            </w:r>
            <w:r w:rsidRPr="00724E86">
              <w:rPr>
                <w:rFonts w:ascii="Times New Roman" w:eastAsia="Times New Roman" w:hAnsi="Times New Roman" w:cs="Times New Roman"/>
                <w:i/>
                <w:iCs/>
                <w:lang w:eastAsia="lv-LV"/>
              </w:rPr>
              <w:t xml:space="preserve"> </w:t>
            </w:r>
            <w:r w:rsidRPr="00724E86">
              <w:rPr>
                <w:rFonts w:ascii="Times New Roman" w:eastAsia="Times New Roman" w:hAnsi="Times New Roman" w:cs="Times New Roman"/>
                <w:lang w:eastAsia="lv-LV"/>
              </w:rPr>
              <w:t xml:space="preserve">izveidotās un apstiprinātās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minimis</w:t>
            </w:r>
            <w:proofErr w:type="spellEnd"/>
            <w:r w:rsidRPr="00724E86">
              <w:rPr>
                <w:rFonts w:ascii="Times New Roman" w:eastAsia="Times New Roman" w:hAnsi="Times New Roman" w:cs="Times New Roman"/>
                <w:lang w:eastAsia="lv-LV"/>
              </w:rPr>
              <w:t xml:space="preserve"> veidlapas identifikācijas numuru.</w:t>
            </w:r>
          </w:p>
        </w:tc>
      </w:tr>
      <w:tr w:rsidR="005D259A" w:rsidRPr="001513D5" w14:paraId="699DDA0E" w14:textId="77777777" w:rsidTr="00847A3F">
        <w:tc>
          <w:tcPr>
            <w:tcW w:w="567" w:type="dxa"/>
          </w:tcPr>
          <w:p w14:paraId="78854037" w14:textId="77777777" w:rsidR="005D259A" w:rsidRPr="00724E86" w:rsidRDefault="005D259A" w:rsidP="00847A3F">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8.</w:t>
            </w:r>
          </w:p>
        </w:tc>
        <w:tc>
          <w:tcPr>
            <w:tcW w:w="3678" w:type="dxa"/>
            <w:shd w:val="clear" w:color="auto" w:fill="auto"/>
          </w:tcPr>
          <w:p w14:paraId="2AFD8228" w14:textId="77777777" w:rsidR="005D259A" w:rsidRPr="00724E86" w:rsidRDefault="005D259A" w:rsidP="00847A3F">
            <w:pPr>
              <w:ind w:left="0" w:firstLine="0"/>
              <w:rPr>
                <w:rFonts w:ascii="Times New Roman" w:eastAsia="Calibri" w:hAnsi="Times New Roman" w:cs="Times New Roman"/>
                <w:lang w:eastAsia="lv-LV"/>
              </w:rPr>
            </w:pPr>
            <w:r w:rsidRPr="00724E86">
              <w:rPr>
                <w:rFonts w:ascii="Times New Roman" w:hAnsi="Times New Roman" w:cs="Times New Roman"/>
              </w:rPr>
              <w:t>Komersantam nav Valsts ieņēmumu dienesta administrēto nodokļu vai nodevu parādu, tai skaitā valsts sociālās apdrošināšanas obligāto iemaksu parādu, kas kopsummā pārsniedz 150 </w:t>
            </w:r>
            <w:proofErr w:type="spellStart"/>
            <w:r w:rsidRPr="00724E86">
              <w:rPr>
                <w:rFonts w:ascii="Times New Roman" w:hAnsi="Times New Roman" w:cs="Times New Roman"/>
                <w:i/>
                <w:iCs/>
              </w:rPr>
              <w:t>euro</w:t>
            </w:r>
            <w:proofErr w:type="spellEnd"/>
            <w:r w:rsidRPr="00724E86">
              <w:rPr>
                <w:rFonts w:ascii="Times New Roman" w:hAnsi="Times New Roman" w:cs="Times New Roman"/>
                <w:i/>
                <w:iCs/>
              </w:rPr>
              <w:t>.</w:t>
            </w:r>
          </w:p>
        </w:tc>
        <w:tc>
          <w:tcPr>
            <w:tcW w:w="5678" w:type="dxa"/>
          </w:tcPr>
          <w:p w14:paraId="5A76FBE4" w14:textId="77777777" w:rsidR="005D259A" w:rsidRPr="00724E86" w:rsidRDefault="005D259A" w:rsidP="00847A3F">
            <w:pPr>
              <w:ind w:left="38" w:firstLine="0"/>
              <w:rPr>
                <w:rFonts w:ascii="Times New Roman" w:hAnsi="Times New Roman" w:cs="Times New Roman"/>
              </w:rPr>
            </w:pPr>
            <w:r w:rsidRPr="00724E86">
              <w:rPr>
                <w:rFonts w:ascii="Times New Roman" w:hAnsi="Times New Roman" w:cs="Times New Roman"/>
              </w:rPr>
              <w:t xml:space="preserve">Pārbauda Valsts ieņēmumu dienesta (turpmāk – VID)  publiskojamo datu bāzes sadaļā  “Nodokļu parādnieki” </w:t>
            </w:r>
            <w:hyperlink r:id="rId6" w:history="1">
              <w:r w:rsidRPr="00724E86">
                <w:rPr>
                  <w:rStyle w:val="Hyperlink"/>
                  <w:rFonts w:ascii="Times New Roman" w:hAnsi="Times New Roman" w:cs="Times New Roman"/>
                </w:rPr>
                <w:t>https://www6.vid.gov.lv/NPAR</w:t>
              </w:r>
            </w:hyperlink>
            <w:r w:rsidRPr="00724E86">
              <w:rPr>
                <w:rFonts w:ascii="Times New Roman" w:hAnsi="Times New Roman" w:cs="Times New Roman"/>
              </w:rPr>
              <w:t xml:space="preserve"> (turpmāk – VID parādnieku datu bāze) pieejamo aktuālo informāciju pieteikuma iesniegšanas dienā PA, ņemot vērā, ka informācija par veikto nodokļu nomaksu VID parādnieku datu bāzē tiek aktualizēta un publicēta ar divu darba dienu nobīdi.</w:t>
            </w:r>
          </w:p>
          <w:p w14:paraId="21AA3EFC" w14:textId="77777777" w:rsidR="005D259A" w:rsidRPr="00724E86" w:rsidRDefault="005D259A" w:rsidP="00847A3F">
            <w:pPr>
              <w:ind w:left="38" w:firstLine="0"/>
              <w:rPr>
                <w:rFonts w:ascii="Times New Roman" w:hAnsi="Times New Roman" w:cs="Times New Roman"/>
              </w:rPr>
            </w:pPr>
            <w:r w:rsidRPr="00724E86">
              <w:rPr>
                <w:rFonts w:ascii="Times New Roman" w:hAnsi="Times New Roman" w:cs="Times New Roman"/>
              </w:rPr>
              <w:t xml:space="preserve">Vērtējums tiek noteikts, balstoties uz VID parādnieku datu bāzē pieejamo informāciju par komersanta nodokļu nomaksas stāvokli datumā, kas ir divas darba dienas pēc pieteikuma iesniegšanas PA. </w:t>
            </w:r>
          </w:p>
          <w:p w14:paraId="1B3F0544" w14:textId="77777777" w:rsidR="005D259A" w:rsidRPr="00724E86" w:rsidRDefault="005D259A" w:rsidP="00847A3F">
            <w:pPr>
              <w:ind w:left="38" w:firstLine="0"/>
              <w:rPr>
                <w:rFonts w:ascii="Times New Roman" w:hAnsi="Times New Roman" w:cs="Times New Roman"/>
              </w:rPr>
            </w:pPr>
            <w:r w:rsidRPr="00724E86">
              <w:rPr>
                <w:rFonts w:ascii="Times New Roman" w:hAnsi="Times New Roman" w:cs="Times New Roman"/>
              </w:rPr>
              <w:lastRenderedPageBreak/>
              <w:t>Pieteikuma vērtēšanas veidlapā norāda pārbaudes datumu un konstatēto situāciju.</w:t>
            </w:r>
          </w:p>
          <w:p w14:paraId="5BB9D2A0" w14:textId="77777777" w:rsidR="005D259A" w:rsidRPr="00724E86" w:rsidRDefault="005D259A" w:rsidP="00847A3F">
            <w:pPr>
              <w:ind w:left="38" w:firstLine="0"/>
              <w:rPr>
                <w:rFonts w:ascii="Times New Roman" w:hAnsi="Times New Roman" w:cs="Times New Roman"/>
              </w:rPr>
            </w:pPr>
            <w:r w:rsidRPr="00724E86">
              <w:rPr>
                <w:rFonts w:ascii="Times New Roman" w:hAnsi="Times New Roman" w:cs="Times New Roman"/>
                <w:b/>
                <w:bCs/>
              </w:rPr>
              <w:t>Vērtējums ir “Jā”,</w:t>
            </w:r>
            <w:r w:rsidRPr="00724E86">
              <w:rPr>
                <w:rFonts w:ascii="Times New Roman" w:hAnsi="Times New Roman" w:cs="Times New Roman"/>
              </w:rPr>
              <w:t xml:space="preserve"> ja balstoties uz VID parādnieku datu bāzē pieejamo informāciju uz pieteikuma iesniegšanas dienu (t.i., informāciju, kas publicēta divas darba dienas pēc pieteikuma iesniegšanas dienas) komersantam nav VID administrēto nodokļu parādu, tajā skaitā valsts sociālās apdrošināšanas obligāto iemaksu parādu (turpmāk – nodokļu parādi),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w:t>
            </w:r>
          </w:p>
          <w:p w14:paraId="02D22490" w14:textId="77777777" w:rsidR="005D259A" w:rsidRPr="00724E86" w:rsidRDefault="005D259A" w:rsidP="00847A3F">
            <w:pPr>
              <w:ind w:left="0" w:firstLine="0"/>
              <w:rPr>
                <w:rFonts w:ascii="Times New Roman" w:hAnsi="Times New Roman" w:cs="Times New Roman"/>
              </w:rPr>
            </w:pPr>
            <w:r w:rsidRPr="00724E86">
              <w:rPr>
                <w:rFonts w:ascii="Times New Roman" w:hAnsi="Times New Roman" w:cs="Times New Roman"/>
                <w:b/>
                <w:bCs/>
              </w:rPr>
              <w:t>Vērtējums ir “Jā ar nosacījumu”</w:t>
            </w:r>
            <w:r w:rsidRPr="00724E86">
              <w:rPr>
                <w:rFonts w:ascii="Times New Roman" w:hAnsi="Times New Roman" w:cs="Times New Roman"/>
              </w:rPr>
              <w:t>, ja:</w:t>
            </w:r>
          </w:p>
          <w:p w14:paraId="52D15305" w14:textId="77777777" w:rsidR="005D259A" w:rsidRPr="00724E86" w:rsidRDefault="005D259A" w:rsidP="00847A3F">
            <w:pPr>
              <w:ind w:left="605"/>
              <w:rPr>
                <w:rFonts w:ascii="Times New Roman" w:hAnsi="Times New Roman" w:cs="Times New Roman"/>
              </w:rPr>
            </w:pPr>
            <w:r w:rsidRPr="00724E86">
              <w:rPr>
                <w:rFonts w:ascii="Times New Roman" w:hAnsi="Times New Roman" w:cs="Times New Roman"/>
              </w:rPr>
              <w:t xml:space="preserve">1)            saskaņā ar VID  parādnieku datu bāzē pieejamo informāciju pieteikuma iesniegšanas PA dienā (t.i., informāciju, kas publicēta  divas darba dienas pēc pieteikuma iesniegšanas PA) komersantam ir nodokļu parādi,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w:t>
            </w:r>
          </w:p>
          <w:p w14:paraId="436AD530" w14:textId="77777777" w:rsidR="005D259A" w:rsidRPr="00724E86" w:rsidRDefault="005D259A" w:rsidP="00847A3F">
            <w:pPr>
              <w:ind w:left="605"/>
              <w:rPr>
                <w:rFonts w:ascii="Times New Roman" w:hAnsi="Times New Roman" w:cs="Times New Roman"/>
              </w:rPr>
            </w:pPr>
            <w:r w:rsidRPr="00724E86">
              <w:rPr>
                <w:rFonts w:ascii="Times New Roman" w:hAnsi="Times New Roman" w:cs="Times New Roman"/>
              </w:rPr>
              <w:t xml:space="preserve">2)            saskaņā ar VID parādnieku datu bāzē pieejamo informāciju pieteikuma iesniegšanas PA dienā (t.i., informāciju, kas publicēta  divas darba dienas pēc pieteikuma iesniegšanas PA) komersantam nav nodokļu parādu,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74817245" w14:textId="77777777" w:rsidR="005D259A" w:rsidRPr="00724E86" w:rsidRDefault="005D259A" w:rsidP="00847A3F">
            <w:pPr>
              <w:rPr>
                <w:rFonts w:ascii="Times New Roman" w:hAnsi="Times New Roman" w:cs="Times New Roman"/>
              </w:rPr>
            </w:pPr>
            <w:r w:rsidRPr="00724E86">
              <w:rPr>
                <w:rFonts w:ascii="Times New Roman" w:hAnsi="Times New Roman" w:cs="Times New Roman"/>
              </w:rPr>
              <w:t>Konstatējot minētos faktus, izvirza nosacījumus:</w:t>
            </w:r>
          </w:p>
          <w:p w14:paraId="2509A71F" w14:textId="77777777" w:rsidR="005D259A" w:rsidRPr="00724E86" w:rsidRDefault="005D259A" w:rsidP="00847A3F">
            <w:pPr>
              <w:ind w:left="747" w:hanging="463"/>
              <w:rPr>
                <w:rFonts w:ascii="Times New Roman" w:hAnsi="Times New Roman" w:cs="Times New Roman"/>
              </w:rPr>
            </w:pPr>
            <w:r w:rsidRPr="00724E86">
              <w:rPr>
                <w:rFonts w:ascii="Times New Roman" w:hAnsi="Times New Roman" w:cs="Times New Roman"/>
              </w:rPr>
              <w:t xml:space="preserve">a)            veikt visu nodokļu parādu nomaksu, nodrošinot, ka komersantam Latvijas Republikā pieteikuma precizējumu iesniegšanas dienā nav nodokļu parādu,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w:t>
            </w:r>
          </w:p>
          <w:p w14:paraId="7E5D1305" w14:textId="77777777" w:rsidR="005D259A" w:rsidRPr="00724E86" w:rsidRDefault="005D259A" w:rsidP="00847A3F">
            <w:pPr>
              <w:rPr>
                <w:rFonts w:ascii="Times New Roman" w:hAnsi="Times New Roman" w:cs="Times New Roman"/>
              </w:rPr>
            </w:pPr>
            <w:r w:rsidRPr="00724E86">
              <w:rPr>
                <w:rFonts w:ascii="Times New Roman" w:hAnsi="Times New Roman" w:cs="Times New Roman"/>
              </w:rPr>
              <w:t>b)            iesniegt VID visas nodokļu deklarācijas, kas bija jāiesniedz līdz pārbaudes datumam, papildus iesniedzot PA aktualizētu izziņu par faktisko nodokļu nomaksas stāvokli pārbaudes datumā.</w:t>
            </w:r>
          </w:p>
          <w:p w14:paraId="53AFA0F3" w14:textId="77777777" w:rsidR="005D259A" w:rsidRPr="00724E86" w:rsidRDefault="005D259A" w:rsidP="00847A3F">
            <w:pPr>
              <w:ind w:left="0" w:firstLine="0"/>
              <w:rPr>
                <w:rFonts w:ascii="Times New Roman" w:hAnsi="Times New Roman" w:cs="Times New Roman"/>
              </w:rPr>
            </w:pPr>
            <w:r w:rsidRPr="00724E86">
              <w:rPr>
                <w:rFonts w:ascii="Times New Roman" w:hAnsi="Times New Roman" w:cs="Times New Roman"/>
                <w:b/>
                <w:bCs/>
              </w:rPr>
              <w:t>Vērtējums ir “Nē”,</w:t>
            </w:r>
            <w:r w:rsidRPr="00724E86">
              <w:rPr>
                <w:rFonts w:ascii="Times New Roman" w:hAnsi="Times New Roman" w:cs="Times New Roman"/>
              </w:rPr>
              <w:t xml:space="preserve"> ja saskaņā ar VID parādnieku datu bāzē pieejamo informāciju precizētā pieteikuma iesniegšanas dienā ( t.i., informāciju, kas publicēta  divas darba dienas pēc precizētā pieteikuma iesniegšanas PA), ir konstatējams, ka komersants nav veicis nodokļu parādu nomaksu un tam ir nodokļu parādi,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w:t>
            </w:r>
          </w:p>
          <w:p w14:paraId="13BE671E" w14:textId="77777777" w:rsidR="005D259A" w:rsidRPr="00724E86" w:rsidRDefault="005D259A" w:rsidP="00847A3F">
            <w:pPr>
              <w:ind w:left="38" w:firstLine="0"/>
              <w:rPr>
                <w:rFonts w:ascii="Times New Roman" w:hAnsi="Times New Roman" w:cs="Times New Roman"/>
              </w:rPr>
            </w:pPr>
            <w:r w:rsidRPr="00724E86">
              <w:rPr>
                <w:rFonts w:ascii="Times New Roman" w:hAnsi="Times New Roman" w:cs="Times New Roman"/>
              </w:rPr>
              <w:t xml:space="preserve">Lai nodrošinātu minētā kritērija visaptverošu pārbaudi, komersanta atbilstību šajā kritērijā noteiktajam pārbauda atkārtoti, ja pieteikuma apstiprināts ar nosacījumu, neatkarīgi no tā, vai nosacījums ir saistīts ar šī kritērija izpildi. </w:t>
            </w:r>
          </w:p>
          <w:p w14:paraId="0A869F67" w14:textId="77777777" w:rsidR="005D259A" w:rsidRPr="00724E86" w:rsidRDefault="005D259A" w:rsidP="00847A3F">
            <w:pPr>
              <w:widowControl w:val="0"/>
              <w:autoSpaceDE w:val="0"/>
              <w:autoSpaceDN w:val="0"/>
              <w:adjustRightInd w:val="0"/>
              <w:ind w:left="0" w:firstLine="0"/>
              <w:rPr>
                <w:rFonts w:ascii="Times New Roman" w:eastAsia="Times New Roman" w:hAnsi="Times New Roman" w:cs="Times New Roman"/>
                <w:lang w:eastAsia="lv-LV"/>
              </w:rPr>
            </w:pPr>
            <w:r w:rsidRPr="00724E86">
              <w:rPr>
                <w:rFonts w:ascii="Times New Roman" w:hAnsi="Times New Roman" w:cs="Times New Roman"/>
              </w:rPr>
              <w:t>Ja PA atkārtotas pārbaudes rezultātā konstatē nodokļu parādu, PA pieņem lēmumu par pieteikuma noraidīšanu, to pamatojot ar neatbilstību šim kritērijam, pat gadījumā, ja sākotnējā novērtēšanā pieteikums šajā kritērijā novērtēts ar “Jā”.</w:t>
            </w:r>
          </w:p>
        </w:tc>
      </w:tr>
      <w:tr w:rsidR="005D259A" w:rsidRPr="001513D5" w14:paraId="76199D1C" w14:textId="77777777" w:rsidTr="00847A3F">
        <w:tc>
          <w:tcPr>
            <w:tcW w:w="567" w:type="dxa"/>
          </w:tcPr>
          <w:p w14:paraId="67C3284B" w14:textId="77777777" w:rsidR="005D259A" w:rsidRPr="00724E86" w:rsidRDefault="005D259A" w:rsidP="00847A3F">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lastRenderedPageBreak/>
              <w:t>9.</w:t>
            </w:r>
          </w:p>
        </w:tc>
        <w:tc>
          <w:tcPr>
            <w:tcW w:w="3678" w:type="dxa"/>
            <w:shd w:val="clear" w:color="auto" w:fill="auto"/>
          </w:tcPr>
          <w:p w14:paraId="44EDC3F3" w14:textId="77777777" w:rsidR="005D259A" w:rsidRPr="00724E86" w:rsidRDefault="005D259A" w:rsidP="00847A3F">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 xml:space="preserve">Komersants  </w:t>
            </w:r>
            <w:r w:rsidRPr="00724E86">
              <w:rPr>
                <w:rFonts w:ascii="Times New Roman" w:eastAsia="Calibri" w:hAnsi="Times New Roman" w:cs="Times New Roman"/>
                <w:lang w:eastAsia="lv-LV"/>
              </w:rPr>
              <w:t xml:space="preserve">atbilst </w:t>
            </w:r>
            <w:r w:rsidRPr="00724E86">
              <w:rPr>
                <w:rFonts w:ascii="Times New Roman" w:eastAsia="Calibri" w:hAnsi="Times New Roman" w:cs="Times New Roman"/>
                <w:color w:val="000000" w:themeColor="text1"/>
                <w:lang w:eastAsia="lv-LV"/>
              </w:rPr>
              <w:t xml:space="preserve">visiem MK noteikumu Nr. 500 13.3. - </w:t>
            </w:r>
            <w:r w:rsidRPr="00724E86">
              <w:rPr>
                <w:rFonts w:ascii="Times New Roman" w:eastAsia="Calibri" w:hAnsi="Times New Roman" w:cs="Times New Roman"/>
                <w:color w:val="000000" w:themeColor="text1"/>
                <w:lang w:eastAsia="lv-LV"/>
              </w:rPr>
              <w:lastRenderedPageBreak/>
              <w:t>13.5. apakšpunktā noteiktajiem atb</w:t>
            </w:r>
            <w:r w:rsidRPr="00724E86">
              <w:rPr>
                <w:rFonts w:ascii="Times New Roman" w:eastAsia="Calibri" w:hAnsi="Times New Roman" w:cs="Times New Roman"/>
                <w:lang w:eastAsia="lv-LV"/>
              </w:rPr>
              <w:t>alsta piešķiršanas nosacījumiem.</w:t>
            </w:r>
          </w:p>
        </w:tc>
        <w:tc>
          <w:tcPr>
            <w:tcW w:w="5678" w:type="dxa"/>
          </w:tcPr>
          <w:p w14:paraId="70832108"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lastRenderedPageBreak/>
              <w:t xml:space="preserve">Pārbauda, vai komersants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mininis</w:t>
            </w:r>
            <w:proofErr w:type="spellEnd"/>
            <w:r w:rsidRPr="00724E86">
              <w:rPr>
                <w:rFonts w:ascii="Times New Roman" w:eastAsia="Times New Roman" w:hAnsi="Times New Roman" w:cs="Times New Roman"/>
                <w:i/>
                <w:iCs/>
                <w:lang w:eastAsia="lv-LV"/>
              </w:rPr>
              <w:t xml:space="preserve"> </w:t>
            </w:r>
            <w:r w:rsidRPr="00724E86">
              <w:rPr>
                <w:rFonts w:ascii="Times New Roman" w:eastAsia="Times New Roman" w:hAnsi="Times New Roman" w:cs="Times New Roman"/>
                <w:lang w:eastAsia="lv-LV"/>
              </w:rPr>
              <w:t xml:space="preserve">atbalsta uzskaites veidlapā ir norādījis informāciju par savu uzņēmumu, gan arī </w:t>
            </w:r>
            <w:r w:rsidRPr="00724E86">
              <w:rPr>
                <w:rFonts w:ascii="Times New Roman" w:eastAsia="Times New Roman" w:hAnsi="Times New Roman" w:cs="Times New Roman"/>
                <w:lang w:eastAsia="lv-LV"/>
              </w:rPr>
              <w:lastRenderedPageBreak/>
              <w:t>par tiem uzņēmumiem, kuri ietilpst viena vienota uzņēmuma definīcijā (ja attiecināms) saskaņā ar Komisijas regulas Nr. 1407/2013 2. panta 2. punkta nosacījumiem.</w:t>
            </w:r>
          </w:p>
          <w:p w14:paraId="7197355A"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b/>
                <w:bCs/>
                <w:lang w:eastAsia="lv-LV"/>
              </w:rPr>
              <w:t>„Viens vienots uzņēmums”</w:t>
            </w:r>
            <w:r w:rsidRPr="00724E86">
              <w:rPr>
                <w:rFonts w:ascii="Times New Roman" w:eastAsia="Times New Roman" w:hAnsi="Times New Roman" w:cs="Times New Roman"/>
                <w:lang w:eastAsia="lv-LV"/>
              </w:rPr>
              <w:t xml:space="preserve"> ietver visus uzņēmumus, kuru starpā pastāv vismaz vienas no šādām attiecībām:</w:t>
            </w:r>
          </w:p>
          <w:p w14:paraId="50E6AADD"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b/>
                <w:lang w:eastAsia="lv-LV"/>
              </w:rPr>
              <w:t>a)</w:t>
            </w:r>
            <w:r w:rsidRPr="00724E86">
              <w:rPr>
                <w:rFonts w:ascii="Times New Roman" w:eastAsia="Times New Roman" w:hAnsi="Times New Roman" w:cs="Times New Roman"/>
                <w:lang w:eastAsia="lv-LV"/>
              </w:rPr>
              <w:t xml:space="preserve"> vienam uzņēmumam ir akcionāru vai dalībnieku balsstiesību vairākums citā uzņēmumā;</w:t>
            </w:r>
            <w:r w:rsidRPr="00724E86">
              <w:rPr>
                <w:rFonts w:ascii="Times New Roman" w:eastAsia="Times New Roman" w:hAnsi="Times New Roman" w:cs="Times New Roman"/>
                <w:lang w:eastAsia="lv-LV"/>
              </w:rPr>
              <w:br/>
            </w:r>
            <w:r w:rsidRPr="00724E86">
              <w:rPr>
                <w:rFonts w:ascii="Times New Roman" w:eastAsia="Times New Roman" w:hAnsi="Times New Roman" w:cs="Times New Roman"/>
                <w:b/>
                <w:lang w:eastAsia="lv-LV"/>
              </w:rPr>
              <w:t>b)</w:t>
            </w:r>
            <w:r w:rsidRPr="00724E86">
              <w:rPr>
                <w:rFonts w:ascii="Times New Roman" w:eastAsia="Times New Roman" w:hAnsi="Times New Roman" w:cs="Times New Roman"/>
                <w:lang w:eastAsia="lv-LV"/>
              </w:rPr>
              <w:t xml:space="preserve"> vienam uzņēmumam ir tiesības iecelt vai atlaist cita uzņēmuma pārvaldes, vadības vai uzraudzības struktūras locekļu vairākumu;</w:t>
            </w:r>
            <w:r w:rsidRPr="00724E86">
              <w:rPr>
                <w:rFonts w:ascii="Times New Roman" w:eastAsia="Times New Roman" w:hAnsi="Times New Roman" w:cs="Times New Roman"/>
                <w:lang w:eastAsia="lv-LV"/>
              </w:rPr>
              <w:br/>
            </w:r>
            <w:r w:rsidRPr="00724E86">
              <w:rPr>
                <w:rFonts w:ascii="Times New Roman" w:eastAsia="Times New Roman" w:hAnsi="Times New Roman" w:cs="Times New Roman"/>
                <w:b/>
                <w:lang w:eastAsia="lv-LV"/>
              </w:rPr>
              <w:t>c)</w:t>
            </w:r>
            <w:r w:rsidRPr="00724E86">
              <w:rPr>
                <w:rFonts w:ascii="Times New Roman" w:eastAsia="Times New Roman" w:hAnsi="Times New Roman" w:cs="Times New Roman"/>
                <w:lang w:eastAsia="lv-LV"/>
              </w:rPr>
              <w:t xml:space="preserve"> vienam uzņēmumam ir tiesības īstenot dominējošu ietekmi pār citu uzņēmumu saskaņā ar līgumu, kas noslēgts ar šo uzņēmumu, vai saskaņā ar tā dibināšanas līguma klauzulu vai statūtiem;</w:t>
            </w:r>
            <w:r w:rsidRPr="00724E86">
              <w:rPr>
                <w:rFonts w:ascii="Times New Roman" w:eastAsia="Times New Roman" w:hAnsi="Times New Roman" w:cs="Times New Roman"/>
                <w:lang w:eastAsia="lv-LV"/>
              </w:rPr>
              <w:br/>
            </w:r>
            <w:r w:rsidRPr="00724E86">
              <w:rPr>
                <w:rFonts w:ascii="Times New Roman" w:eastAsia="Times New Roman" w:hAnsi="Times New Roman" w:cs="Times New Roman"/>
                <w:b/>
                <w:lang w:eastAsia="lv-LV"/>
              </w:rPr>
              <w:t>d)</w:t>
            </w:r>
            <w:r w:rsidRPr="00724E86">
              <w:rPr>
                <w:rFonts w:ascii="Times New Roman" w:eastAsia="Times New Roman" w:hAnsi="Times New Roman" w:cs="Times New Roman"/>
                <w:lang w:eastAsia="lv-LV"/>
              </w:rPr>
              <w:t xml:space="preserve"> 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3C35D327"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Uzņēmumi, kuriem kādas no a) līdz d) apakšpunktā minētajām attiecībām pastāv ar viena vai vairāku citu uzņēmumu starpniecību, arī ir uzskatāmi par vienu vienotu uzņēmumu.</w:t>
            </w:r>
          </w:p>
          <w:p w14:paraId="77F24419"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Pārliecinās, vai kopējais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lang w:eastAsia="lv-LV"/>
              </w:rPr>
              <w:t xml:space="preserve"> atbalsts, vienam vienotam uzņēmumam, triju fiskālo gadu periodā nepārsniedz 200 000 </w:t>
            </w:r>
            <w:proofErr w:type="spellStart"/>
            <w:r w:rsidRPr="00724E86">
              <w:rPr>
                <w:rFonts w:ascii="Times New Roman" w:eastAsia="Times New Roman" w:hAnsi="Times New Roman" w:cs="Times New Roman"/>
                <w:i/>
                <w:iCs/>
                <w:lang w:eastAsia="lv-LV"/>
              </w:rPr>
              <w:t>euro</w:t>
            </w:r>
            <w:proofErr w:type="spellEnd"/>
            <w:r w:rsidRPr="00724E86">
              <w:rPr>
                <w:rFonts w:ascii="Times New Roman" w:eastAsia="Times New Roman" w:hAnsi="Times New Roman" w:cs="Times New Roman"/>
                <w:lang w:eastAsia="lv-LV"/>
              </w:rPr>
              <w:t>.</w:t>
            </w:r>
          </w:p>
          <w:p w14:paraId="242B777B" w14:textId="77777777" w:rsidR="005D259A" w:rsidRPr="00724E86" w:rsidRDefault="005D259A" w:rsidP="00847A3F">
            <w:pPr>
              <w:ind w:left="0" w:firstLine="0"/>
              <w:rPr>
                <w:rFonts w:ascii="Times New Roman" w:eastAsia="Times New Roman" w:hAnsi="Times New Roman" w:cs="Times New Roman"/>
                <w:lang w:eastAsia="lv-LV"/>
              </w:rPr>
            </w:pPr>
          </w:p>
          <w:p w14:paraId="32938206"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hAnsi="Times New Roman" w:cs="Times New Roman"/>
              </w:rPr>
              <w:t xml:space="preserve">Pārbauda, vai komersants darbojas </w:t>
            </w:r>
            <w:r w:rsidRPr="00724E86">
              <w:rPr>
                <w:rFonts w:ascii="Times New Roman" w:eastAsia="Times New Roman" w:hAnsi="Times New Roman" w:cs="Times New Roman"/>
                <w:lang w:eastAsia="lv-LV"/>
              </w:rPr>
              <w:t xml:space="preserve">saimnieciskās darbības nozarēs un veic darbības, kuras nav minētas Komisijas regulas Nr. 1407/2013 1. panta 1. punktā un šo noteikumu 1. pielikumā. Ja komersants vienlaikus darbojas vienā vai vairākās Komisijas regulas Nr. 1407/2013 darbības jomās,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lang w:eastAsia="lv-LV"/>
              </w:rPr>
              <w:t xml:space="preserve"> atbalsta saņēmējs nodrošina šo nozaru darbību vai izmaksu nodalīšanu saskaņā ar Komisijas regulas Nr. 1407/2013 1. panta 2. punktu.</w:t>
            </w:r>
          </w:p>
          <w:p w14:paraId="5FEFFFF0" w14:textId="77777777" w:rsidR="005D259A" w:rsidRPr="00724E86" w:rsidRDefault="005D259A" w:rsidP="00847A3F">
            <w:pPr>
              <w:ind w:left="0" w:firstLine="0"/>
              <w:rPr>
                <w:rFonts w:ascii="Times New Roman" w:eastAsia="Times New Roman" w:hAnsi="Times New Roman" w:cs="Times New Roman"/>
                <w:lang w:eastAsia="lv-LV"/>
              </w:rPr>
            </w:pPr>
          </w:p>
          <w:p w14:paraId="153A7946"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Pārbauda, vai līdz pieteikuma iesniegšanas brīdim komersants un viens vienots uzņēmums (ja attiecināms) nav jau saņēmis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i/>
                <w:lang w:eastAsia="lv-LV"/>
              </w:rPr>
              <w:t xml:space="preserve"> </w:t>
            </w:r>
            <w:r w:rsidRPr="00724E86">
              <w:rPr>
                <w:rFonts w:ascii="Times New Roman" w:eastAsia="Times New Roman" w:hAnsi="Times New Roman" w:cs="Times New Roman"/>
                <w:lang w:eastAsia="lv-LV"/>
              </w:rPr>
              <w:t xml:space="preserve">atbalstu kādā no citām programmām par tām pašām izmaksām. Minēto informāciju pārbauda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i/>
                <w:lang w:eastAsia="lv-LV"/>
              </w:rPr>
              <w:t xml:space="preserve"> </w:t>
            </w:r>
            <w:r w:rsidRPr="00724E86">
              <w:rPr>
                <w:rFonts w:ascii="Times New Roman" w:eastAsia="Times New Roman" w:hAnsi="Times New Roman" w:cs="Times New Roman"/>
                <w:iCs/>
                <w:lang w:eastAsia="lv-LV"/>
              </w:rPr>
              <w:t xml:space="preserve">atbalsta uzskaites sistēmā </w:t>
            </w:r>
            <w:r w:rsidRPr="00724E86">
              <w:rPr>
                <w:rFonts w:ascii="Times New Roman" w:eastAsia="Times New Roman" w:hAnsi="Times New Roman" w:cs="Times New Roman"/>
                <w:lang w:eastAsia="lv-LV"/>
              </w:rPr>
              <w:t>un izdruku pievieno pieteikumam.</w:t>
            </w:r>
          </w:p>
          <w:p w14:paraId="7F4B3929" w14:textId="77777777" w:rsidR="005D259A" w:rsidRPr="00724E86" w:rsidRDefault="005D259A" w:rsidP="00847A3F">
            <w:pPr>
              <w:ind w:left="0" w:firstLine="0"/>
              <w:rPr>
                <w:rFonts w:ascii="Times New Roman" w:eastAsia="Times New Roman" w:hAnsi="Times New Roman" w:cs="Times New Roman"/>
                <w:lang w:eastAsia="lv-LV"/>
              </w:rPr>
            </w:pPr>
          </w:p>
          <w:p w14:paraId="03DCC5B8" w14:textId="77777777" w:rsidR="005D259A" w:rsidRPr="00724E86" w:rsidRDefault="005D259A" w:rsidP="00847A3F">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 xml:space="preserve">Ja sākotnēji ir pieņemts lēmums ar nosacījumu, tad, izvērtējot papildu informāciju Programmas </w:t>
            </w:r>
            <w:proofErr w:type="spellStart"/>
            <w:r w:rsidRPr="00724E86">
              <w:rPr>
                <w:rFonts w:ascii="Times New Roman" w:eastAsia="Times New Roman" w:hAnsi="Times New Roman" w:cs="Times New Roman"/>
                <w:lang w:eastAsia="lv-LV"/>
              </w:rPr>
              <w:t>apsaimniekotājs</w:t>
            </w:r>
            <w:proofErr w:type="spellEnd"/>
            <w:r w:rsidRPr="00724E86">
              <w:rPr>
                <w:rFonts w:ascii="Times New Roman" w:eastAsia="Times New Roman" w:hAnsi="Times New Roman" w:cs="Times New Roman"/>
                <w:lang w:eastAsia="lv-LV"/>
              </w:rPr>
              <w:t xml:space="preserve"> atkārtoti vērtē atlases 9. kritēriju, lai vēlreiz pārliecinātos par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lang w:eastAsia="lv-LV"/>
              </w:rPr>
              <w:t xml:space="preserve"> atbalsta </w:t>
            </w:r>
            <w:r w:rsidRPr="00724E86">
              <w:rPr>
                <w:rFonts w:ascii="Times New Roman" w:eastAsia="Calibri" w:hAnsi="Times New Roman" w:cs="Times New Roman"/>
                <w:lang w:eastAsia="lv-LV"/>
              </w:rPr>
              <w:t>piešķiršanas nosacījumiem.</w:t>
            </w:r>
          </w:p>
          <w:p w14:paraId="4799E601"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Calibri" w:hAnsi="Times New Roman" w:cs="Times New Roman"/>
                <w:lang w:eastAsia="lv-LV"/>
              </w:rPr>
              <w:t xml:space="preserve">Ja konstatēts, ka komersants neatbilst </w:t>
            </w:r>
            <w:proofErr w:type="spellStart"/>
            <w:r w:rsidRPr="00724E86">
              <w:rPr>
                <w:rFonts w:ascii="Times New Roman" w:eastAsia="Calibri" w:hAnsi="Times New Roman" w:cs="Times New Roman"/>
                <w:i/>
                <w:lang w:eastAsia="lv-LV"/>
              </w:rPr>
              <w:t>de</w:t>
            </w:r>
            <w:proofErr w:type="spellEnd"/>
            <w:r w:rsidRPr="00724E86">
              <w:rPr>
                <w:rFonts w:ascii="Times New Roman" w:eastAsia="Calibri" w:hAnsi="Times New Roman" w:cs="Times New Roman"/>
                <w:i/>
                <w:lang w:eastAsia="lv-LV"/>
              </w:rPr>
              <w:t xml:space="preserve"> </w:t>
            </w:r>
            <w:proofErr w:type="spellStart"/>
            <w:r w:rsidRPr="00724E86">
              <w:rPr>
                <w:rFonts w:ascii="Times New Roman" w:eastAsia="Calibri" w:hAnsi="Times New Roman" w:cs="Times New Roman"/>
                <w:i/>
                <w:lang w:eastAsia="lv-LV"/>
              </w:rPr>
              <w:t>minimis</w:t>
            </w:r>
            <w:proofErr w:type="spellEnd"/>
            <w:r w:rsidRPr="00724E86">
              <w:rPr>
                <w:rFonts w:ascii="Times New Roman" w:eastAsia="Calibri" w:hAnsi="Times New Roman" w:cs="Times New Roman"/>
                <w:lang w:eastAsia="lv-LV"/>
              </w:rPr>
              <w:t xml:space="preserve"> atbalsta piešķiršanas nosacījumiem, tiek sagatavots lēmums pa pieteikuma noraidīšanu.</w:t>
            </w:r>
          </w:p>
        </w:tc>
      </w:tr>
      <w:tr w:rsidR="005D259A" w:rsidRPr="001513D5" w14:paraId="7C809246" w14:textId="77777777" w:rsidTr="00847A3F">
        <w:tc>
          <w:tcPr>
            <w:tcW w:w="567" w:type="dxa"/>
          </w:tcPr>
          <w:p w14:paraId="4FAD38D3" w14:textId="77777777" w:rsidR="005D259A" w:rsidRPr="00724E86" w:rsidRDefault="005D259A" w:rsidP="00847A3F">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lastRenderedPageBreak/>
              <w:t>10.</w:t>
            </w:r>
          </w:p>
        </w:tc>
        <w:tc>
          <w:tcPr>
            <w:tcW w:w="3678" w:type="dxa"/>
            <w:shd w:val="clear" w:color="auto" w:fill="auto"/>
          </w:tcPr>
          <w:p w14:paraId="4369E805"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Sarindojot pieteikumus atbilstoši iesniegtā datuma un laika secībai, nav pārsniegts maksimāli pieļaujamo pieteikumu skaits</w:t>
            </w:r>
            <w:r w:rsidRPr="00724E86">
              <w:rPr>
                <w:rFonts w:ascii="Times New Roman" w:eastAsia="Calibri" w:hAnsi="Times New Roman" w:cs="Times New Roman"/>
                <w:lang w:eastAsia="lv-LV"/>
              </w:rPr>
              <w:t xml:space="preserve"> divpusējās sadarbības fonda aktivitātē</w:t>
            </w:r>
            <w:r w:rsidRPr="00724E86">
              <w:rPr>
                <w:rFonts w:ascii="Times New Roman" w:eastAsia="Times New Roman" w:hAnsi="Times New Roman" w:cs="Times New Roman"/>
                <w:lang w:eastAsia="lv-LV"/>
              </w:rPr>
              <w:t>.</w:t>
            </w:r>
          </w:p>
          <w:p w14:paraId="50F6DAD6" w14:textId="77777777" w:rsidR="005D259A" w:rsidRPr="00724E86" w:rsidRDefault="005D259A" w:rsidP="00847A3F">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(Kritēriju vērtē, ja iesniegto pieteikumu skaits ir pārsniedzis aktivitātē noteikto maksimāli pieļaujamo pieteikumu skaitu.)</w:t>
            </w:r>
          </w:p>
        </w:tc>
        <w:tc>
          <w:tcPr>
            <w:tcW w:w="5678" w:type="dxa"/>
          </w:tcPr>
          <w:p w14:paraId="29362779"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Kritēriju vērtē, ja iesniegto pieteikumu skaits ir pārsniedzis iniciatīvā noteikto maksimāli pieļaujamo pieteikumu skaitu.</w:t>
            </w:r>
          </w:p>
          <w:p w14:paraId="1D951DBB" w14:textId="77777777" w:rsidR="005D259A" w:rsidRPr="00724E86" w:rsidRDefault="005D259A" w:rsidP="00847A3F">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Ja dalībai divpusējās sadarbības fonda iniciatīvas aktivitātē ir noteikts dalībnieku skaitlisks ierobežojums, tad pieteikums, kas atbilst visiem pieteikuma vērtēšanas kritērijiem, sakārto pēc iesniegšanas datuma un laika. Vispirms tiek apstiprināti tie pieteikumi, kurus Programmas </w:t>
            </w:r>
            <w:proofErr w:type="spellStart"/>
            <w:r w:rsidRPr="00724E86">
              <w:rPr>
                <w:rFonts w:ascii="Times New Roman" w:eastAsia="Times New Roman" w:hAnsi="Times New Roman" w:cs="Times New Roman"/>
                <w:lang w:eastAsia="lv-LV"/>
              </w:rPr>
              <w:t>apsaimniekotājs</w:t>
            </w:r>
            <w:proofErr w:type="spellEnd"/>
            <w:r w:rsidRPr="00724E86">
              <w:rPr>
                <w:rFonts w:ascii="Times New Roman" w:eastAsia="Times New Roman" w:hAnsi="Times New Roman" w:cs="Times New Roman"/>
                <w:lang w:eastAsia="lv-LV"/>
              </w:rPr>
              <w:t xml:space="preserve"> ir saņēmis agrāk.</w:t>
            </w:r>
          </w:p>
          <w:p w14:paraId="7CA2616D" w14:textId="77777777" w:rsidR="005D259A" w:rsidRPr="00724E86" w:rsidRDefault="005D259A" w:rsidP="00847A3F">
            <w:pPr>
              <w:ind w:left="0" w:firstLine="0"/>
              <w:rPr>
                <w:rFonts w:ascii="Times New Roman" w:eastAsia="Times New Roman" w:hAnsi="Times New Roman" w:cs="Times New Roman"/>
                <w:lang w:eastAsia="lv-LV"/>
              </w:rPr>
            </w:pPr>
          </w:p>
        </w:tc>
      </w:tr>
    </w:tbl>
    <w:p w14:paraId="6B78750C" w14:textId="77777777" w:rsidR="005D259A" w:rsidRPr="001513D5" w:rsidRDefault="005D259A" w:rsidP="005D259A">
      <w:pPr>
        <w:spacing w:before="160" w:after="160" w:line="276" w:lineRule="auto"/>
        <w:ind w:left="0" w:firstLine="0"/>
        <w:rPr>
          <w:rFonts w:ascii="Times New Roman" w:hAnsi="Times New Roman" w:cs="Times New Roman"/>
          <w:sz w:val="24"/>
          <w:szCs w:val="24"/>
        </w:rPr>
      </w:pPr>
    </w:p>
    <w:sectPr w:rsidR="005D259A" w:rsidRPr="001513D5" w:rsidSect="00521AD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82549"/>
    <w:multiLevelType w:val="hybridMultilevel"/>
    <w:tmpl w:val="3D988212"/>
    <w:lvl w:ilvl="0" w:tplc="4E00E61E">
      <w:start w:val="1"/>
      <w:numFmt w:val="decimal"/>
      <w:lvlText w:val="%1."/>
      <w:lvlJc w:val="left"/>
      <w:pPr>
        <w:tabs>
          <w:tab w:val="num" w:pos="720"/>
        </w:tabs>
        <w:ind w:left="720" w:hanging="360"/>
      </w:pPr>
      <w:rPr>
        <w:rFonts w:cs="Times New Roman" w:hint="default"/>
        <w:sz w:val="22"/>
        <w:szCs w:val="22"/>
      </w:rPr>
    </w:lvl>
    <w:lvl w:ilvl="1" w:tplc="04260003">
      <w:start w:val="1"/>
      <w:numFmt w:val="lowerLetter"/>
      <w:lvlText w:val="%2)"/>
      <w:lvlJc w:val="left"/>
      <w:pPr>
        <w:tabs>
          <w:tab w:val="num" w:pos="1440"/>
        </w:tabs>
        <w:ind w:left="1440" w:hanging="360"/>
      </w:pPr>
      <w:rPr>
        <w:rFonts w:ascii="Times New Roman" w:eastAsia="Times New Roman" w:hAnsi="Times New Roman" w:cs="Times New Roman"/>
      </w:rPr>
    </w:lvl>
    <w:lvl w:ilvl="2" w:tplc="976EDF7C">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9A"/>
    <w:rsid w:val="00521AD5"/>
    <w:rsid w:val="00577206"/>
    <w:rsid w:val="005D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4927"/>
  <w15:chartTrackingRefBased/>
  <w15:docId w15:val="{DA679C8B-30B8-478D-BE08-819BFC0D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9A"/>
    <w:pPr>
      <w:spacing w:before="120" w:after="120" w:line="240" w:lineRule="auto"/>
      <w:ind w:left="851" w:hanging="567"/>
      <w:jc w:val="both"/>
    </w:pPr>
    <w:rPr>
      <w:rFonts w:asciiTheme="minorHAnsi" w:hAnsiTheme="minorHAnsi" w:cstheme="minorBid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6.vid.gov.lv/NPAR" TargetMode="External"/><Relationship Id="rId5" Type="http://schemas.openxmlformats.org/officeDocument/2006/relationships/hyperlink" Target="http://www.lia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9865</Characters>
  <Application>Microsoft Office Word</Application>
  <DocSecurity>0</DocSecurity>
  <Lines>82</Lines>
  <Paragraphs>23</Paragraphs>
  <ScaleCrop>false</ScaleCrop>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Rūdolfs Erdmanis</cp:lastModifiedBy>
  <cp:revision>1</cp:revision>
  <dcterms:created xsi:type="dcterms:W3CDTF">2022-03-18T12:58:00Z</dcterms:created>
  <dcterms:modified xsi:type="dcterms:W3CDTF">2022-03-18T12:58:00Z</dcterms:modified>
</cp:coreProperties>
</file>