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2ACD" w14:textId="77777777" w:rsidR="00791FDF" w:rsidRPr="00D656D6" w:rsidRDefault="00791FDF" w:rsidP="00791FDF">
      <w:pPr>
        <w:widowControl/>
        <w:spacing w:after="0"/>
        <w:jc w:val="right"/>
        <w:rPr>
          <w:szCs w:val="24"/>
          <w:lang w:val="lv-LV"/>
        </w:rPr>
      </w:pPr>
      <w:r w:rsidRPr="00D656D6">
        <w:rPr>
          <w:rFonts w:eastAsia="Times New Roman"/>
          <w:color w:val="000000"/>
          <w:szCs w:val="24"/>
          <w:lang w:val="lv-LV" w:eastAsia="lv-LV"/>
        </w:rPr>
        <w:t>6.pielikums</w:t>
      </w:r>
    </w:p>
    <w:p w14:paraId="34ABB19F" w14:textId="77777777" w:rsidR="00791FDF" w:rsidRPr="00D656D6" w:rsidRDefault="00791FDF" w:rsidP="00791FDF">
      <w:pPr>
        <w:widowControl/>
        <w:spacing w:after="0" w:line="240" w:lineRule="auto"/>
        <w:ind w:left="360"/>
        <w:jc w:val="right"/>
        <w:rPr>
          <w:szCs w:val="24"/>
          <w:lang w:val="lv-LV"/>
        </w:rPr>
      </w:pPr>
      <w:r w:rsidRPr="00D656D6">
        <w:rPr>
          <w:szCs w:val="24"/>
          <w:lang w:val="lv-LV"/>
        </w:rPr>
        <w:t>Latvijas Investīciju un attīstības aģentūras</w:t>
      </w:r>
    </w:p>
    <w:p w14:paraId="39C9EE9D" w14:textId="77777777" w:rsidR="00791FDF" w:rsidRPr="00D656D6" w:rsidRDefault="00791FDF" w:rsidP="00791FDF">
      <w:pPr>
        <w:widowControl/>
        <w:spacing w:after="0" w:line="240" w:lineRule="auto"/>
        <w:jc w:val="right"/>
        <w:rPr>
          <w:rFonts w:eastAsia="Times New Roman"/>
          <w:color w:val="000000"/>
          <w:szCs w:val="24"/>
          <w:lang w:val="lv-LV" w:eastAsia="lv-LV"/>
        </w:rPr>
      </w:pPr>
      <w:r w:rsidRPr="00D656D6">
        <w:rPr>
          <w:szCs w:val="24"/>
          <w:lang w:val="lv-LV"/>
        </w:rPr>
        <w:t>iekšējiem noteikumiem Nr.</w:t>
      </w:r>
      <w:r w:rsidRPr="00D656D6">
        <w:rPr>
          <w:b/>
          <w:bCs/>
          <w:szCs w:val="24"/>
          <w:lang w:val="lv-LV"/>
        </w:rPr>
        <w:t xml:space="preserve"> </w:t>
      </w:r>
      <w:r w:rsidRPr="00D656D6">
        <w:rPr>
          <w:noProof/>
          <w:szCs w:val="24"/>
          <w:lang w:val="lv-LV"/>
        </w:rPr>
        <w:t>1.1-29.1/2021/48</w:t>
      </w:r>
    </w:p>
    <w:p w14:paraId="12D3CC50" w14:textId="77777777" w:rsidR="00791FDF" w:rsidRPr="00D656D6" w:rsidRDefault="00791FDF" w:rsidP="00791FDF">
      <w:pPr>
        <w:widowControl/>
        <w:tabs>
          <w:tab w:val="center" w:pos="4153"/>
          <w:tab w:val="right" w:pos="8306"/>
        </w:tabs>
        <w:spacing w:after="0" w:line="240" w:lineRule="auto"/>
        <w:jc w:val="right"/>
        <w:rPr>
          <w:rFonts w:eastAsia="Times New Roman"/>
          <w:color w:val="000000"/>
          <w:sz w:val="16"/>
          <w:szCs w:val="16"/>
          <w:lang w:val="x-none" w:eastAsia="x-none"/>
        </w:rPr>
      </w:pPr>
    </w:p>
    <w:p w14:paraId="6251D348" w14:textId="77777777" w:rsidR="00791FDF" w:rsidRPr="00D656D6" w:rsidRDefault="00791FDF" w:rsidP="00791FDF">
      <w:pPr>
        <w:widowControl/>
        <w:spacing w:after="0" w:line="240" w:lineRule="auto"/>
        <w:jc w:val="center"/>
        <w:outlineLvl w:val="0"/>
        <w:rPr>
          <w:rFonts w:eastAsia="Times New Roman"/>
          <w:b/>
          <w:color w:val="000000"/>
          <w:sz w:val="16"/>
          <w:szCs w:val="16"/>
          <w:lang w:val="lv-LV" w:eastAsia="lv-LV"/>
        </w:rPr>
      </w:pPr>
      <w:r w:rsidRPr="00D656D6">
        <w:rPr>
          <w:rFonts w:eastAsia="Times New Roman"/>
          <w:b/>
          <w:color w:val="000000"/>
          <w:sz w:val="26"/>
          <w:szCs w:val="26"/>
          <w:lang w:val="lv-LV" w:eastAsia="lv-LV"/>
        </w:rPr>
        <w:t>Maksājuma pieprasījuma pārbaudes lapas vērtēšanas procedūra</w:t>
      </w:r>
    </w:p>
    <w:p w14:paraId="7823502A" w14:textId="77777777" w:rsidR="00791FDF" w:rsidRPr="00D656D6" w:rsidRDefault="00791FDF" w:rsidP="00791FDF">
      <w:pPr>
        <w:widowControl/>
        <w:spacing w:after="0" w:line="240" w:lineRule="auto"/>
        <w:rPr>
          <w:rFonts w:eastAsia="Times New Roman"/>
          <w:color w:val="000000"/>
          <w:szCs w:val="24"/>
          <w:lang w:val="lv-LV" w:eastAsia="lv-LV"/>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6699"/>
        <w:gridCol w:w="3549"/>
      </w:tblGrid>
      <w:tr w:rsidR="00791FDF" w:rsidRPr="00D656D6" w14:paraId="2E9069B8" w14:textId="77777777" w:rsidTr="004A3D64">
        <w:trPr>
          <w:trHeight w:val="314"/>
        </w:trPr>
        <w:tc>
          <w:tcPr>
            <w:tcW w:w="720" w:type="dxa"/>
            <w:shd w:val="clear" w:color="auto" w:fill="C0C0C0"/>
          </w:tcPr>
          <w:p w14:paraId="7DC74162" w14:textId="77777777" w:rsidR="00791FDF" w:rsidRPr="00D656D6" w:rsidRDefault="00791FDF" w:rsidP="004A3D64">
            <w:pPr>
              <w:widowControl/>
              <w:spacing w:after="0" w:line="240" w:lineRule="auto"/>
              <w:jc w:val="center"/>
              <w:rPr>
                <w:rFonts w:eastAsia="Times New Roman"/>
                <w:b/>
                <w:color w:val="000000"/>
                <w:sz w:val="22"/>
                <w:lang w:val="lv-LV" w:eastAsia="lv-LV"/>
              </w:rPr>
            </w:pPr>
            <w:r w:rsidRPr="00D656D6">
              <w:rPr>
                <w:rFonts w:eastAsia="Times New Roman"/>
                <w:b/>
                <w:color w:val="000000"/>
                <w:sz w:val="22"/>
                <w:lang w:val="lv-LV" w:eastAsia="lv-LV"/>
              </w:rPr>
              <w:t>Nr.</w:t>
            </w:r>
          </w:p>
        </w:tc>
        <w:tc>
          <w:tcPr>
            <w:tcW w:w="3780" w:type="dxa"/>
            <w:shd w:val="clear" w:color="auto" w:fill="C0C0C0"/>
          </w:tcPr>
          <w:p w14:paraId="60243C9E" w14:textId="77777777" w:rsidR="00791FDF" w:rsidRPr="00D656D6" w:rsidRDefault="00791FDF" w:rsidP="004A3D64">
            <w:pPr>
              <w:widowControl/>
              <w:spacing w:after="0" w:line="240" w:lineRule="auto"/>
              <w:jc w:val="center"/>
              <w:rPr>
                <w:rFonts w:eastAsia="Times New Roman"/>
                <w:b/>
                <w:color w:val="000000"/>
                <w:sz w:val="22"/>
                <w:lang w:val="lv-LV" w:eastAsia="lv-LV"/>
              </w:rPr>
            </w:pPr>
            <w:r w:rsidRPr="00D656D6">
              <w:rPr>
                <w:rFonts w:eastAsia="Times New Roman"/>
                <w:b/>
                <w:color w:val="000000"/>
                <w:sz w:val="22"/>
                <w:lang w:val="lv-LV" w:eastAsia="lv-LV"/>
              </w:rPr>
              <w:t>Kritēriji</w:t>
            </w:r>
          </w:p>
        </w:tc>
        <w:tc>
          <w:tcPr>
            <w:tcW w:w="6699" w:type="dxa"/>
            <w:shd w:val="clear" w:color="auto" w:fill="C0C0C0"/>
          </w:tcPr>
          <w:p w14:paraId="69366884" w14:textId="77777777" w:rsidR="00791FDF" w:rsidRPr="00D656D6" w:rsidRDefault="00791FDF" w:rsidP="004A3D64">
            <w:pPr>
              <w:widowControl/>
              <w:spacing w:after="0" w:line="240" w:lineRule="auto"/>
              <w:jc w:val="center"/>
              <w:rPr>
                <w:rFonts w:eastAsia="Times New Roman"/>
                <w:b/>
                <w:color w:val="000000"/>
                <w:sz w:val="22"/>
                <w:lang w:val="lv-LV" w:eastAsia="lv-LV"/>
              </w:rPr>
            </w:pPr>
            <w:r w:rsidRPr="00D656D6">
              <w:rPr>
                <w:rFonts w:eastAsia="Times New Roman"/>
                <w:b/>
                <w:color w:val="000000"/>
                <w:sz w:val="22"/>
                <w:lang w:val="lv-LV" w:eastAsia="lv-LV"/>
              </w:rPr>
              <w:t>Procedūra</w:t>
            </w:r>
          </w:p>
        </w:tc>
        <w:tc>
          <w:tcPr>
            <w:tcW w:w="3549" w:type="dxa"/>
            <w:shd w:val="clear" w:color="auto" w:fill="C0C0C0"/>
          </w:tcPr>
          <w:p w14:paraId="6754781A" w14:textId="77777777" w:rsidR="00791FDF" w:rsidRPr="00D656D6" w:rsidRDefault="00791FDF" w:rsidP="004A3D64">
            <w:pPr>
              <w:widowControl/>
              <w:spacing w:after="0" w:line="240" w:lineRule="auto"/>
              <w:jc w:val="center"/>
              <w:rPr>
                <w:rFonts w:eastAsia="Times New Roman"/>
                <w:b/>
                <w:color w:val="000000"/>
                <w:sz w:val="22"/>
                <w:lang w:val="lv-LV" w:eastAsia="lv-LV"/>
              </w:rPr>
            </w:pPr>
            <w:r w:rsidRPr="00D656D6">
              <w:rPr>
                <w:rFonts w:eastAsia="Times New Roman"/>
                <w:b/>
                <w:color w:val="000000"/>
                <w:sz w:val="22"/>
                <w:lang w:val="lv-LV" w:eastAsia="lv-LV"/>
              </w:rPr>
              <w:t>Informācijas avots</w:t>
            </w:r>
          </w:p>
        </w:tc>
      </w:tr>
      <w:tr w:rsidR="00791FDF" w:rsidRPr="00D656D6" w14:paraId="3B473E9D" w14:textId="77777777" w:rsidTr="004A3D64">
        <w:tc>
          <w:tcPr>
            <w:tcW w:w="720" w:type="dxa"/>
          </w:tcPr>
          <w:p w14:paraId="75347D60" w14:textId="77777777" w:rsidR="00791FDF" w:rsidRPr="00D656D6" w:rsidRDefault="00791FDF" w:rsidP="004A3D64">
            <w:pPr>
              <w:widowControl/>
              <w:spacing w:after="0" w:line="240" w:lineRule="auto"/>
              <w:jc w:val="center"/>
              <w:rPr>
                <w:rFonts w:eastAsia="Times New Roman"/>
                <w:color w:val="000000"/>
                <w:sz w:val="22"/>
                <w:lang w:val="lv-LV" w:eastAsia="lv-LV"/>
              </w:rPr>
            </w:pPr>
            <w:r w:rsidRPr="00D656D6">
              <w:rPr>
                <w:rFonts w:eastAsia="Times New Roman"/>
                <w:color w:val="000000"/>
                <w:sz w:val="22"/>
                <w:lang w:val="lv-LV" w:eastAsia="lv-LV"/>
              </w:rPr>
              <w:t>1.</w:t>
            </w:r>
          </w:p>
        </w:tc>
        <w:tc>
          <w:tcPr>
            <w:tcW w:w="3780" w:type="dxa"/>
          </w:tcPr>
          <w:p w14:paraId="79BABB4A" w14:textId="77777777" w:rsidR="00791FDF" w:rsidRPr="00D656D6" w:rsidRDefault="00791FDF" w:rsidP="004A3D64">
            <w:pPr>
              <w:widowControl/>
              <w:spacing w:after="0" w:line="240" w:lineRule="auto"/>
              <w:jc w:val="both"/>
              <w:rPr>
                <w:rFonts w:eastAsia="Times New Roman"/>
                <w:color w:val="000000"/>
                <w:sz w:val="22"/>
                <w:lang w:val="lv-LV" w:eastAsia="lv-LV"/>
              </w:rPr>
            </w:pPr>
            <w:r w:rsidRPr="00D656D6">
              <w:rPr>
                <w:rFonts w:eastAsia="Times New Roman"/>
                <w:color w:val="000000"/>
                <w:sz w:val="22"/>
                <w:lang w:val="lv-LV" w:eastAsia="lv-LV"/>
              </w:rPr>
              <w:t xml:space="preserve">Atbalsta saņēmējam ar tiesas spriedumu nav pasludināts maksātnespējas process, ar tiesas spriedumu netiek īstenots tiesiskās aizsardzības process vai ar tiesas lēmumu netiek īstenots </w:t>
            </w:r>
            <w:proofErr w:type="spellStart"/>
            <w:r w:rsidRPr="00D656D6">
              <w:rPr>
                <w:rFonts w:eastAsia="Times New Roman"/>
                <w:color w:val="000000"/>
                <w:sz w:val="22"/>
                <w:lang w:val="lv-LV" w:eastAsia="lv-LV"/>
              </w:rPr>
              <w:t>ārpustiesas</w:t>
            </w:r>
            <w:proofErr w:type="spellEnd"/>
            <w:r w:rsidRPr="00D656D6">
              <w:rPr>
                <w:rFonts w:eastAsia="Times New Roman"/>
                <w:color w:val="000000"/>
                <w:sz w:val="22"/>
                <w:lang w:val="lv-LV" w:eastAsia="lv-LV"/>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6699" w:type="dxa"/>
          </w:tcPr>
          <w:p w14:paraId="0BB009FC" w14:textId="77777777" w:rsidR="00791FDF" w:rsidRPr="00D656D6" w:rsidRDefault="00791FDF" w:rsidP="004A3D64">
            <w:pPr>
              <w:widowControl/>
              <w:spacing w:after="0" w:line="240" w:lineRule="auto"/>
              <w:jc w:val="both"/>
              <w:rPr>
                <w:rFonts w:eastAsia="Times New Roman"/>
                <w:iCs/>
                <w:color w:val="000000"/>
                <w:sz w:val="22"/>
                <w:lang w:val="lv-LV" w:eastAsia="lv-LV"/>
              </w:rPr>
            </w:pPr>
            <w:r w:rsidRPr="00D656D6">
              <w:rPr>
                <w:rFonts w:eastAsia="Times New Roman"/>
                <w:iCs/>
                <w:color w:val="000000"/>
                <w:sz w:val="22"/>
                <w:lang w:val="lv-LV" w:eastAsia="lv-LV"/>
              </w:rPr>
              <w:t xml:space="preserve">Pārbauda, vai atbalsta saņēmējam ar </w:t>
            </w:r>
            <w:r w:rsidRPr="00D656D6">
              <w:rPr>
                <w:rFonts w:eastAsia="Times New Roman"/>
                <w:color w:val="000000"/>
                <w:sz w:val="22"/>
                <w:lang w:val="lv-LV" w:eastAsia="lv-LV"/>
              </w:rPr>
              <w:t xml:space="preserve">tiesas spriedumu nav pasludināts maksātnespējas process vai ar tiesas spriedumu netiek īstenots tiesiskās aizsardzības process, vai ar tiesas lēmumu netiek īstenots </w:t>
            </w:r>
            <w:proofErr w:type="spellStart"/>
            <w:r w:rsidRPr="00D656D6">
              <w:rPr>
                <w:rFonts w:eastAsia="Times New Roman"/>
                <w:color w:val="000000"/>
                <w:sz w:val="22"/>
                <w:lang w:val="lv-LV" w:eastAsia="lv-LV"/>
              </w:rPr>
              <w:t>ārpustiesas</w:t>
            </w:r>
            <w:proofErr w:type="spellEnd"/>
            <w:r w:rsidRPr="00D656D6">
              <w:rPr>
                <w:rFonts w:eastAsia="Times New Roman"/>
                <w:color w:val="000000"/>
                <w:sz w:val="22"/>
                <w:lang w:val="lv-LV" w:eastAsia="lv-LV"/>
              </w:rPr>
              <w:t xml:space="preserve"> tiesiskās aizsardzības process, tai nav uzsākta bankrota procedūra, piemērota sanācija vai mierizlīgums vai tās saimnieciskā darbība nav izbeigta</w:t>
            </w:r>
            <w:r w:rsidRPr="00D656D6">
              <w:rPr>
                <w:rFonts w:eastAsia="Times New Roman"/>
                <w:iCs/>
                <w:color w:val="000000"/>
                <w:sz w:val="22"/>
                <w:lang w:val="lv-LV" w:eastAsia="lv-LV"/>
              </w:rPr>
              <w:t>, pārliecinoties par to Lursoft datu bāzē vai Maksātnespējas reģistrā. Pievieno izdruku no Lursoft datu bāzes vai Maksātnespējas reģistra.</w:t>
            </w:r>
          </w:p>
        </w:tc>
        <w:tc>
          <w:tcPr>
            <w:tcW w:w="3549" w:type="dxa"/>
          </w:tcPr>
          <w:p w14:paraId="7B7BC503" w14:textId="77777777" w:rsidR="00791FDF" w:rsidRPr="00D656D6" w:rsidRDefault="00791FDF" w:rsidP="004A3D64">
            <w:pPr>
              <w:widowControl/>
              <w:spacing w:after="0" w:line="240" w:lineRule="auto"/>
              <w:jc w:val="both"/>
              <w:rPr>
                <w:rFonts w:eastAsia="Times New Roman"/>
                <w:color w:val="000000"/>
                <w:sz w:val="22"/>
                <w:lang w:val="lv-LV" w:eastAsia="lv-LV"/>
              </w:rPr>
            </w:pPr>
            <w:r w:rsidRPr="00D656D6">
              <w:rPr>
                <w:rFonts w:eastAsia="Times New Roman"/>
                <w:color w:val="000000"/>
                <w:sz w:val="22"/>
                <w:lang w:val="lv-LV" w:eastAsia="lv-LV"/>
              </w:rPr>
              <w:t xml:space="preserve">1) </w:t>
            </w:r>
            <w:r w:rsidRPr="00D656D6">
              <w:rPr>
                <w:rFonts w:eastAsia="Times New Roman"/>
                <w:sz w:val="22"/>
                <w:lang w:val="lv-LV" w:eastAsia="lv-LV"/>
              </w:rPr>
              <w:t>Lursoft vai tai pielīdzināma datu bāze;</w:t>
            </w:r>
          </w:p>
          <w:p w14:paraId="5641F455" w14:textId="77777777" w:rsidR="00791FDF" w:rsidRPr="00D656D6" w:rsidRDefault="00791FDF" w:rsidP="004A3D64">
            <w:pPr>
              <w:widowControl/>
              <w:autoSpaceDE w:val="0"/>
              <w:autoSpaceDN w:val="0"/>
              <w:adjustRightInd w:val="0"/>
              <w:spacing w:after="0" w:line="240" w:lineRule="auto"/>
              <w:jc w:val="both"/>
              <w:rPr>
                <w:rFonts w:eastAsia="Times New Roman"/>
                <w:color w:val="000000"/>
                <w:sz w:val="22"/>
                <w:lang w:val="lv-LV" w:eastAsia="lv-LV"/>
              </w:rPr>
            </w:pPr>
            <w:r w:rsidRPr="00D656D6">
              <w:rPr>
                <w:rFonts w:eastAsia="Times New Roman"/>
                <w:color w:val="000000"/>
                <w:sz w:val="22"/>
                <w:lang w:val="lv-LV" w:eastAsia="lv-LV"/>
              </w:rPr>
              <w:t>2) Maksātnespējas reģistrs.</w:t>
            </w:r>
          </w:p>
        </w:tc>
      </w:tr>
      <w:tr w:rsidR="00791FDF" w:rsidRPr="00D656D6" w14:paraId="6342087B" w14:textId="77777777" w:rsidTr="004A3D64">
        <w:tc>
          <w:tcPr>
            <w:tcW w:w="720" w:type="dxa"/>
          </w:tcPr>
          <w:p w14:paraId="3739EFCB" w14:textId="77777777" w:rsidR="00791FDF" w:rsidRPr="00D656D6" w:rsidRDefault="00791FDF" w:rsidP="004A3D64">
            <w:pPr>
              <w:widowControl/>
              <w:spacing w:after="0" w:line="240" w:lineRule="auto"/>
              <w:jc w:val="center"/>
              <w:rPr>
                <w:rFonts w:eastAsia="Times New Roman"/>
                <w:color w:val="000000"/>
                <w:sz w:val="22"/>
                <w:lang w:val="lv-LV" w:eastAsia="lv-LV"/>
              </w:rPr>
            </w:pPr>
            <w:r w:rsidRPr="00D656D6">
              <w:rPr>
                <w:rFonts w:eastAsia="Times New Roman"/>
                <w:color w:val="000000"/>
                <w:sz w:val="22"/>
                <w:lang w:val="lv-LV" w:eastAsia="lv-LV"/>
              </w:rPr>
              <w:t>2.</w:t>
            </w:r>
          </w:p>
        </w:tc>
        <w:tc>
          <w:tcPr>
            <w:tcW w:w="3780" w:type="dxa"/>
          </w:tcPr>
          <w:p w14:paraId="44B101A8" w14:textId="77777777" w:rsidR="00791FDF" w:rsidRPr="00D656D6" w:rsidRDefault="00791FDF" w:rsidP="004A3D64">
            <w:pPr>
              <w:widowControl/>
              <w:spacing w:after="0" w:line="240" w:lineRule="auto"/>
              <w:jc w:val="both"/>
              <w:rPr>
                <w:rFonts w:eastAsia="Times New Roman"/>
                <w:color w:val="000000"/>
                <w:sz w:val="22"/>
                <w:lang w:val="lv-LV" w:eastAsia="lv-LV"/>
              </w:rPr>
            </w:pPr>
            <w:r w:rsidRPr="00D656D6">
              <w:rPr>
                <w:rFonts w:eastAsia="Times New Roman"/>
                <w:color w:val="000000"/>
                <w:sz w:val="22"/>
                <w:lang w:val="lv-LV" w:eastAsia="lv-LV"/>
              </w:rPr>
              <w:t>Projekts īstenots atbilstoši līgumā paredzētajam un  ir sasniegti plānotie projekta rezultāti.</w:t>
            </w:r>
          </w:p>
        </w:tc>
        <w:tc>
          <w:tcPr>
            <w:tcW w:w="6699" w:type="dxa"/>
          </w:tcPr>
          <w:p w14:paraId="55996BBD" w14:textId="77777777" w:rsidR="00791FDF" w:rsidRPr="00D656D6" w:rsidRDefault="00791FDF" w:rsidP="004A3D64">
            <w:pPr>
              <w:widowControl/>
              <w:spacing w:after="0" w:line="240" w:lineRule="auto"/>
              <w:jc w:val="both"/>
              <w:rPr>
                <w:rFonts w:eastAsia="Times New Roman"/>
                <w:iCs/>
                <w:color w:val="000000"/>
                <w:sz w:val="22"/>
                <w:lang w:val="lv-LV" w:eastAsia="lv-LV"/>
              </w:rPr>
            </w:pPr>
            <w:r w:rsidRPr="00D656D6">
              <w:rPr>
                <w:rFonts w:eastAsia="Times New Roman"/>
                <w:iCs/>
                <w:color w:val="000000"/>
                <w:sz w:val="22"/>
                <w:lang w:val="lv-LV" w:eastAsia="lv-LV"/>
              </w:rPr>
              <w:t>Pārbauda, vai atbalsta saņēmējs ir iesniedzis dokumentu par apmācību kursa sekmīgu pabeigšanu.</w:t>
            </w:r>
          </w:p>
        </w:tc>
        <w:tc>
          <w:tcPr>
            <w:tcW w:w="3549" w:type="dxa"/>
          </w:tcPr>
          <w:p w14:paraId="79C7061A" w14:textId="77777777" w:rsidR="00791FDF" w:rsidRPr="00D656D6" w:rsidRDefault="00791FDF" w:rsidP="004A3D64">
            <w:pPr>
              <w:widowControl/>
              <w:spacing w:after="0" w:line="240" w:lineRule="auto"/>
              <w:jc w:val="both"/>
              <w:rPr>
                <w:rFonts w:eastAsia="Times New Roman"/>
                <w:color w:val="000000"/>
                <w:sz w:val="22"/>
                <w:lang w:val="lv-LV" w:eastAsia="lv-LV"/>
              </w:rPr>
            </w:pPr>
            <w:r w:rsidRPr="00D656D6">
              <w:rPr>
                <w:rFonts w:eastAsia="Times New Roman"/>
                <w:color w:val="000000"/>
                <w:sz w:val="22"/>
                <w:lang w:val="lv-LV" w:eastAsia="lv-LV"/>
              </w:rPr>
              <w:t>MP 8. sadaļa</w:t>
            </w:r>
          </w:p>
        </w:tc>
      </w:tr>
      <w:tr w:rsidR="00791FDF" w:rsidRPr="00D656D6" w14:paraId="6DB936FB" w14:textId="77777777" w:rsidTr="004A3D64">
        <w:tc>
          <w:tcPr>
            <w:tcW w:w="720" w:type="dxa"/>
          </w:tcPr>
          <w:p w14:paraId="774C4C65" w14:textId="77777777" w:rsidR="00791FDF" w:rsidRPr="00D656D6" w:rsidRDefault="00791FDF" w:rsidP="004A3D64">
            <w:pPr>
              <w:widowControl/>
              <w:spacing w:after="0" w:line="240" w:lineRule="auto"/>
              <w:jc w:val="center"/>
              <w:rPr>
                <w:rFonts w:eastAsia="Times New Roman"/>
                <w:color w:val="000000"/>
                <w:sz w:val="22"/>
                <w:lang w:val="lv-LV" w:eastAsia="lv-LV"/>
              </w:rPr>
            </w:pPr>
            <w:r w:rsidRPr="00D656D6">
              <w:rPr>
                <w:rFonts w:eastAsia="Times New Roman"/>
                <w:color w:val="000000"/>
                <w:sz w:val="22"/>
                <w:lang w:val="lv-LV" w:eastAsia="lv-LV"/>
              </w:rPr>
              <w:t>3.</w:t>
            </w:r>
          </w:p>
        </w:tc>
        <w:tc>
          <w:tcPr>
            <w:tcW w:w="3780" w:type="dxa"/>
          </w:tcPr>
          <w:p w14:paraId="451BA63E" w14:textId="77777777" w:rsidR="00791FDF" w:rsidRPr="00D656D6" w:rsidRDefault="00791FDF" w:rsidP="004A3D64">
            <w:pPr>
              <w:widowControl/>
              <w:spacing w:after="0" w:line="240" w:lineRule="auto"/>
              <w:jc w:val="both"/>
              <w:rPr>
                <w:rFonts w:eastAsia="Times New Roman"/>
                <w:color w:val="000000"/>
                <w:sz w:val="22"/>
                <w:lang w:val="lv-LV" w:eastAsia="lv-LV"/>
              </w:rPr>
            </w:pPr>
            <w:r w:rsidRPr="00D656D6">
              <w:rPr>
                <w:rFonts w:eastAsia="Times New Roman"/>
                <w:color w:val="000000"/>
                <w:sz w:val="22"/>
                <w:lang w:val="lv-LV" w:eastAsia="lv-LV"/>
              </w:rPr>
              <w:t>Izmaksas, par kurām iesniegts Maksājuma pieprasījums (turpmāk-MP),</w:t>
            </w:r>
            <w:r w:rsidRPr="00D656D6">
              <w:rPr>
                <w:rFonts w:eastAsia="Times New Roman"/>
                <w:sz w:val="22"/>
                <w:lang w:val="lv-LV" w:eastAsia="lv-LV"/>
              </w:rPr>
              <w:t xml:space="preserve"> radušās no dienas kad pieņemts lēmums par atbalsta piešķiršanu, tās ir tieši saistītas ar īstenotajām apmācībām un tās ir attiecināmas saskaņā ar normatīvo aktu par pasākumu īstenošanu</w:t>
            </w:r>
          </w:p>
        </w:tc>
        <w:tc>
          <w:tcPr>
            <w:tcW w:w="6699" w:type="dxa"/>
          </w:tcPr>
          <w:p w14:paraId="50C57390" w14:textId="77777777" w:rsidR="00791FDF" w:rsidRPr="00D656D6" w:rsidRDefault="00791FDF" w:rsidP="004A3D64">
            <w:pPr>
              <w:widowControl/>
              <w:spacing w:after="0" w:line="240" w:lineRule="auto"/>
              <w:jc w:val="both"/>
              <w:rPr>
                <w:rFonts w:eastAsia="Times New Roman"/>
                <w:bCs/>
                <w:color w:val="000000"/>
                <w:kern w:val="28"/>
                <w:sz w:val="22"/>
                <w:lang w:val="lv-LV" w:eastAsia="x-none"/>
              </w:rPr>
            </w:pPr>
            <w:r w:rsidRPr="00D656D6">
              <w:rPr>
                <w:rFonts w:eastAsia="Times New Roman"/>
                <w:bCs/>
                <w:color w:val="000000"/>
                <w:kern w:val="28"/>
                <w:sz w:val="22"/>
                <w:lang w:val="lv-LV" w:eastAsia="x-none"/>
              </w:rPr>
              <w:t>Pārbauda, vai izmaksas:</w:t>
            </w:r>
          </w:p>
          <w:p w14:paraId="41EF2963" w14:textId="77777777" w:rsidR="00791FDF" w:rsidRPr="00D656D6" w:rsidRDefault="00791FDF" w:rsidP="00791FDF">
            <w:pPr>
              <w:widowControl/>
              <w:numPr>
                <w:ilvl w:val="0"/>
                <w:numId w:val="5"/>
              </w:numPr>
              <w:spacing w:after="0" w:line="240" w:lineRule="auto"/>
              <w:jc w:val="both"/>
              <w:rPr>
                <w:rFonts w:eastAsia="Times New Roman"/>
                <w:bCs/>
                <w:color w:val="000000"/>
                <w:kern w:val="28"/>
                <w:sz w:val="22"/>
                <w:lang w:val="lv-LV" w:eastAsia="x-none"/>
              </w:rPr>
            </w:pPr>
            <w:r w:rsidRPr="00D656D6">
              <w:rPr>
                <w:rFonts w:eastAsia="Times New Roman"/>
                <w:bCs/>
                <w:color w:val="000000"/>
                <w:kern w:val="28"/>
                <w:sz w:val="22"/>
                <w:lang w:val="lv-LV" w:eastAsia="x-none"/>
              </w:rPr>
              <w:t xml:space="preserve">radušās </w:t>
            </w:r>
            <w:r w:rsidRPr="00D656D6">
              <w:rPr>
                <w:rFonts w:eastAsia="Times New Roman"/>
                <w:sz w:val="22"/>
                <w:lang w:val="lv-LV"/>
              </w:rPr>
              <w:t>no dienas, kad pieņemts finansējuma saņēmēja lēmums par atbilstību komercdarbības atbalsta normām</w:t>
            </w:r>
            <w:r w:rsidRPr="00D656D6" w:rsidDel="00D954F0">
              <w:rPr>
                <w:rFonts w:eastAsia="Times New Roman"/>
                <w:color w:val="000000"/>
                <w:kern w:val="28"/>
                <w:sz w:val="22"/>
                <w:lang w:val="lv-LV" w:eastAsia="x-none"/>
              </w:rPr>
              <w:t xml:space="preserve"> </w:t>
            </w:r>
            <w:r w:rsidRPr="00D656D6">
              <w:rPr>
                <w:rFonts w:eastAsia="Times New Roman"/>
                <w:bCs/>
                <w:color w:val="000000"/>
                <w:kern w:val="28"/>
                <w:sz w:val="22"/>
                <w:lang w:val="lv-LV" w:eastAsia="x-none"/>
              </w:rPr>
              <w:t>;</w:t>
            </w:r>
          </w:p>
          <w:p w14:paraId="0F139F26" w14:textId="77777777" w:rsidR="00791FDF" w:rsidRPr="00D656D6" w:rsidRDefault="00791FDF" w:rsidP="00791FDF">
            <w:pPr>
              <w:widowControl/>
              <w:numPr>
                <w:ilvl w:val="0"/>
                <w:numId w:val="5"/>
              </w:numPr>
              <w:spacing w:after="0" w:line="240" w:lineRule="auto"/>
              <w:ind w:left="70" w:firstLine="290"/>
              <w:jc w:val="both"/>
              <w:rPr>
                <w:rFonts w:eastAsia="Times New Roman"/>
                <w:color w:val="000000"/>
                <w:kern w:val="28"/>
                <w:sz w:val="22"/>
                <w:lang w:val="lv-LV" w:eastAsia="x-none"/>
              </w:rPr>
            </w:pPr>
            <w:r w:rsidRPr="00D656D6">
              <w:rPr>
                <w:rFonts w:eastAsia="Times New Roman"/>
                <w:color w:val="000000"/>
                <w:kern w:val="28"/>
                <w:sz w:val="22"/>
                <w:lang w:val="lv-LV" w:eastAsia="x-none"/>
              </w:rPr>
              <w:t>ir attiecināmas atbilstoši MK noteikumos Nr.365 noteiktajām izmaksu pozīcijām;</w:t>
            </w:r>
          </w:p>
          <w:p w14:paraId="7ECD22A8" w14:textId="77777777" w:rsidR="00791FDF" w:rsidRPr="00D656D6" w:rsidRDefault="00791FDF" w:rsidP="00791FDF">
            <w:pPr>
              <w:widowControl/>
              <w:numPr>
                <w:ilvl w:val="0"/>
                <w:numId w:val="5"/>
              </w:numPr>
              <w:spacing w:after="0" w:line="240" w:lineRule="auto"/>
              <w:jc w:val="both"/>
              <w:rPr>
                <w:rFonts w:eastAsia="Times New Roman"/>
                <w:kern w:val="28"/>
                <w:sz w:val="22"/>
                <w:lang w:val="lv-LV" w:eastAsia="x-none"/>
              </w:rPr>
            </w:pPr>
            <w:r w:rsidRPr="00D656D6">
              <w:rPr>
                <w:rFonts w:eastAsia="Times New Roman"/>
                <w:sz w:val="22"/>
                <w:lang w:val="lv-LV" w:eastAsia="lv-LV"/>
              </w:rPr>
              <w:t xml:space="preserve">attiecināmas ir MK noteikumu Nr.365 33.1.1.4.1., 33.1.1.4.2., 33.1.1.4.3., 33.1.1.4.4., 33.1.1.4.5., 33.1.1.4.6., un 33.1.1.4.7. apakšpunktā noteiktās tiešās attiecināmās izmaksas un 33.2.1.1., </w:t>
            </w:r>
            <w:r w:rsidRPr="00D656D6">
              <w:rPr>
                <w:rFonts w:eastAsia="Times New Roman"/>
                <w:sz w:val="22"/>
                <w:lang w:val="lv-LV" w:eastAsia="lv-LV"/>
              </w:rPr>
              <w:lastRenderedPageBreak/>
              <w:t>32.2.1.2. 33.2.1.3., 33.2.1.4. un 33.2.2. apakšpunktā noteiktās netiešās attiecināmās izmaksas.</w:t>
            </w:r>
          </w:p>
          <w:p w14:paraId="1EB78D88" w14:textId="77777777" w:rsidR="00791FDF" w:rsidRPr="00D656D6" w:rsidRDefault="00791FDF" w:rsidP="00791FDF">
            <w:pPr>
              <w:widowControl/>
              <w:numPr>
                <w:ilvl w:val="0"/>
                <w:numId w:val="5"/>
              </w:numPr>
              <w:spacing w:after="0" w:line="240" w:lineRule="auto"/>
              <w:ind w:left="663" w:hanging="303"/>
              <w:jc w:val="both"/>
              <w:rPr>
                <w:rFonts w:eastAsia="Times New Roman"/>
                <w:kern w:val="28"/>
                <w:sz w:val="22"/>
                <w:lang w:val="lv-LV" w:eastAsia="x-none"/>
              </w:rPr>
            </w:pPr>
            <w:r w:rsidRPr="00D656D6">
              <w:rPr>
                <w:rFonts w:eastAsia="Times New Roman"/>
                <w:sz w:val="22"/>
                <w:lang w:val="lv-LV"/>
              </w:rPr>
              <w:t>MK noteikumu Nr.365   33.1.1.4.3. apakšpunktā minētās izmaksas ir attiecināmas pēc spēkā esošā regulējuma līdz vienas vienības izmaksu standarta likmju aprēķina un piemērošanas metodikas saskaņošanas ar Finanšu ministriju kā vadošo iestādi.</w:t>
            </w:r>
          </w:p>
          <w:p w14:paraId="02BD4FAF" w14:textId="77777777" w:rsidR="00791FDF" w:rsidRPr="00D656D6" w:rsidRDefault="00791FDF" w:rsidP="004A3D64">
            <w:pPr>
              <w:widowControl/>
              <w:spacing w:after="0" w:line="240" w:lineRule="auto"/>
              <w:ind w:left="663"/>
              <w:jc w:val="both"/>
              <w:rPr>
                <w:rFonts w:eastAsia="Times New Roman"/>
                <w:kern w:val="28"/>
                <w:sz w:val="22"/>
                <w:lang w:val="lv-LV" w:eastAsia="x-none"/>
              </w:rPr>
            </w:pPr>
          </w:p>
          <w:p w14:paraId="33A6A5AC" w14:textId="77777777" w:rsidR="00791FDF" w:rsidRPr="00D656D6" w:rsidRDefault="00791FDF" w:rsidP="004A3D64">
            <w:pPr>
              <w:widowControl/>
              <w:spacing w:after="0" w:line="240" w:lineRule="auto"/>
              <w:jc w:val="both"/>
              <w:rPr>
                <w:rFonts w:eastAsia="Times New Roman"/>
                <w:i/>
                <w:iCs/>
                <w:sz w:val="22"/>
                <w:lang w:val="lv-LV" w:eastAsia="lv-LV"/>
              </w:rPr>
            </w:pPr>
            <w:r w:rsidRPr="00D656D6">
              <w:rPr>
                <w:rFonts w:eastAsia="Times New Roman"/>
                <w:i/>
                <w:iCs/>
                <w:sz w:val="22"/>
                <w:lang w:val="lv-LV" w:eastAsia="lv-LV"/>
              </w:rPr>
              <w:t>Apmācību projekta ietvaros atalgojums ir attiecināms tikai par stundām, kas pavadītas apmācībās!</w:t>
            </w:r>
          </w:p>
          <w:p w14:paraId="1B2E7AB3" w14:textId="77777777" w:rsidR="00791FDF" w:rsidRPr="00D656D6" w:rsidRDefault="00791FDF" w:rsidP="004A3D64">
            <w:pPr>
              <w:widowControl/>
              <w:spacing w:after="0" w:line="240" w:lineRule="auto"/>
              <w:jc w:val="both"/>
              <w:rPr>
                <w:rFonts w:eastAsia="Times New Roman"/>
                <w:i/>
                <w:iCs/>
                <w:sz w:val="22"/>
                <w:lang w:val="lv-LV" w:eastAsia="lv-LV"/>
              </w:rPr>
            </w:pPr>
          </w:p>
          <w:p w14:paraId="6125ECE2" w14:textId="77777777" w:rsidR="00791FDF" w:rsidRPr="00D656D6" w:rsidRDefault="00791FDF" w:rsidP="004A3D64">
            <w:pPr>
              <w:widowControl/>
              <w:spacing w:after="0" w:line="240" w:lineRule="auto"/>
              <w:jc w:val="both"/>
              <w:rPr>
                <w:rFonts w:eastAsia="Times New Roman"/>
                <w:sz w:val="22"/>
                <w:lang w:val="lv-LV" w:eastAsia="lv-LV"/>
              </w:rPr>
            </w:pPr>
            <w:r w:rsidRPr="00D656D6">
              <w:rPr>
                <w:rFonts w:eastAsia="Times New Roman"/>
                <w:sz w:val="22"/>
                <w:lang w:val="lv-LV" w:eastAsia="lv-LV"/>
              </w:rPr>
              <w:t xml:space="preserve">Ar apmācībām saistīto </w:t>
            </w:r>
            <w:proofErr w:type="spellStart"/>
            <w:r w:rsidRPr="00D656D6">
              <w:rPr>
                <w:rFonts w:eastAsia="Times New Roman"/>
                <w:sz w:val="22"/>
                <w:lang w:val="lv-LV" w:eastAsia="lv-LV"/>
              </w:rPr>
              <w:t>mentoringa</w:t>
            </w:r>
            <w:proofErr w:type="spellEnd"/>
            <w:r w:rsidRPr="00D656D6">
              <w:rPr>
                <w:rFonts w:eastAsia="Times New Roman"/>
                <w:sz w:val="22"/>
                <w:lang w:val="lv-LV" w:eastAsia="lv-LV"/>
              </w:rPr>
              <w:t xml:space="preserve"> un konsultāciju izmaksas ar mērķi paredzēt, ka tās var tikt sniegtas apmācāmajiem pēc nepieciešamības arī paralēli apmācībām dažādās kombinācijās – piemēram, ne vien no apmācību pasniedzējiem, bet arī no citiem konsultāciju sniedzējiem , kur ir nepieciešams konsultatīvs atbalsts konkrēta risinājuma radīšanā, attīstīšanā utt. uzņēmumā kopumā. Lai nodrošinātu kvalitatīvu rezultātu, jāparedz iespēja konsultācijām un </w:t>
            </w:r>
            <w:proofErr w:type="spellStart"/>
            <w:r w:rsidRPr="00D656D6">
              <w:rPr>
                <w:rFonts w:eastAsia="Times New Roman"/>
                <w:sz w:val="22"/>
                <w:lang w:val="lv-LV" w:eastAsia="lv-LV"/>
              </w:rPr>
              <w:t>mentoringam</w:t>
            </w:r>
            <w:proofErr w:type="spellEnd"/>
            <w:r w:rsidRPr="00D656D6">
              <w:rPr>
                <w:rFonts w:eastAsia="Times New Roman"/>
                <w:sz w:val="22"/>
                <w:lang w:val="lv-LV" w:eastAsia="lv-LV"/>
              </w:rPr>
              <w:t xml:space="preserve"> piesaistīt apmācāmajiem nepieciešamos speciālistus ar augstāku specializācijas pakāpi konkrētos jautājumos. MK noteikumu Nr. 365 ietvaros tiek saprastas individuālas, attiecīgi pasniedzēja vai citas jomā kompetentākas personas sniegtas konsultācijas, kas sniedz komersantam atbildi uz interesējošiem jautājumiem vai sniedz ieteikumus, atgriezenisko saiti par paveikto un plānoto un virza uz biznesa mērķu sasniegšanu.</w:t>
            </w:r>
          </w:p>
          <w:p w14:paraId="06FD7B5D" w14:textId="77777777" w:rsidR="00791FDF" w:rsidRPr="00D656D6" w:rsidRDefault="00791FDF" w:rsidP="004A3D64">
            <w:pPr>
              <w:widowControl/>
              <w:spacing w:after="0" w:line="240" w:lineRule="auto"/>
              <w:jc w:val="both"/>
              <w:rPr>
                <w:rFonts w:eastAsia="Times New Roman"/>
                <w:sz w:val="22"/>
                <w:lang w:val="lv-LV" w:eastAsia="lv-LV"/>
              </w:rPr>
            </w:pPr>
          </w:p>
          <w:p w14:paraId="4572496B" w14:textId="77777777" w:rsidR="00791FDF" w:rsidRPr="00D656D6" w:rsidRDefault="00791FDF" w:rsidP="004A3D64">
            <w:pPr>
              <w:widowControl/>
              <w:spacing w:after="0" w:line="240" w:lineRule="auto"/>
              <w:jc w:val="both"/>
              <w:rPr>
                <w:rFonts w:eastAsia="Times New Roman"/>
                <w:iCs/>
                <w:color w:val="000000"/>
                <w:sz w:val="22"/>
                <w:lang w:val="lv-LV" w:eastAsia="lv-LV"/>
              </w:rPr>
            </w:pPr>
            <w:r w:rsidRPr="00D656D6">
              <w:rPr>
                <w:rFonts w:eastAsia="Times New Roman"/>
                <w:bCs/>
                <w:color w:val="000000"/>
                <w:kern w:val="28"/>
                <w:sz w:val="22"/>
                <w:lang w:val="lv-LV" w:eastAsia="x-none"/>
              </w:rPr>
              <w:t>LIAA izveidotajā datu bāzē pārbauda vai pasākuma ietvaros viens nodarbinātais nav apguvis vienus un tos pašus apmācību kursus.</w:t>
            </w:r>
          </w:p>
        </w:tc>
        <w:tc>
          <w:tcPr>
            <w:tcW w:w="3549" w:type="dxa"/>
          </w:tcPr>
          <w:p w14:paraId="4C777546" w14:textId="77777777" w:rsidR="00791FDF" w:rsidRPr="00D656D6" w:rsidRDefault="00791FDF" w:rsidP="004A3D64">
            <w:pPr>
              <w:widowControl/>
              <w:autoSpaceDE w:val="0"/>
              <w:autoSpaceDN w:val="0"/>
              <w:adjustRightInd w:val="0"/>
              <w:spacing w:after="0" w:line="240" w:lineRule="auto"/>
              <w:jc w:val="both"/>
              <w:rPr>
                <w:rFonts w:eastAsia="Times New Roman"/>
                <w:color w:val="000000"/>
                <w:sz w:val="22"/>
                <w:lang w:val="lv-LV" w:eastAsia="lv-LV"/>
              </w:rPr>
            </w:pPr>
            <w:r w:rsidRPr="00D656D6">
              <w:rPr>
                <w:rFonts w:eastAsia="Times New Roman"/>
                <w:color w:val="000000"/>
                <w:sz w:val="22"/>
                <w:lang w:val="lv-LV" w:eastAsia="lv-LV"/>
              </w:rPr>
              <w:lastRenderedPageBreak/>
              <w:t>1) MP;</w:t>
            </w:r>
          </w:p>
          <w:p w14:paraId="1DDACB62" w14:textId="77777777" w:rsidR="00791FDF" w:rsidRPr="00D656D6" w:rsidRDefault="00791FDF" w:rsidP="004A3D64">
            <w:pPr>
              <w:widowControl/>
              <w:spacing w:after="0" w:line="240" w:lineRule="auto"/>
              <w:jc w:val="both"/>
              <w:rPr>
                <w:rFonts w:eastAsia="Times New Roman"/>
                <w:color w:val="000000"/>
                <w:sz w:val="22"/>
                <w:lang w:val="lv-LV" w:eastAsia="lv-LV"/>
              </w:rPr>
            </w:pPr>
            <w:r w:rsidRPr="00D656D6">
              <w:rPr>
                <w:rFonts w:eastAsia="Times New Roman"/>
                <w:bCs/>
                <w:color w:val="000000"/>
                <w:kern w:val="28"/>
                <w:sz w:val="22"/>
                <w:lang w:val="lv-LV" w:eastAsia="x-none"/>
              </w:rPr>
              <w:t>2) LIAA izveidotā datu bāze.</w:t>
            </w:r>
          </w:p>
        </w:tc>
      </w:tr>
      <w:tr w:rsidR="00791FDF" w:rsidRPr="00D656D6" w14:paraId="237173C4" w14:textId="77777777" w:rsidTr="004A3D64">
        <w:tc>
          <w:tcPr>
            <w:tcW w:w="720" w:type="dxa"/>
          </w:tcPr>
          <w:p w14:paraId="757F26DA" w14:textId="77777777" w:rsidR="00791FDF" w:rsidRPr="00D656D6" w:rsidRDefault="00791FDF" w:rsidP="004A3D64">
            <w:pPr>
              <w:widowControl/>
              <w:spacing w:after="0" w:line="240" w:lineRule="auto"/>
              <w:jc w:val="center"/>
              <w:rPr>
                <w:rFonts w:eastAsia="Times New Roman"/>
                <w:color w:val="000000"/>
                <w:sz w:val="22"/>
                <w:lang w:val="lv-LV" w:eastAsia="lv-LV"/>
              </w:rPr>
            </w:pPr>
            <w:r w:rsidRPr="00D656D6">
              <w:rPr>
                <w:rFonts w:eastAsia="Times New Roman"/>
                <w:color w:val="000000"/>
                <w:sz w:val="22"/>
                <w:lang w:val="lv-LV" w:eastAsia="lv-LV"/>
              </w:rPr>
              <w:t>4.</w:t>
            </w:r>
          </w:p>
        </w:tc>
        <w:tc>
          <w:tcPr>
            <w:tcW w:w="3780" w:type="dxa"/>
          </w:tcPr>
          <w:p w14:paraId="2A027A26" w14:textId="77777777" w:rsidR="00791FDF" w:rsidRPr="00D656D6" w:rsidRDefault="00791FDF" w:rsidP="004A3D64">
            <w:pPr>
              <w:widowControl/>
              <w:spacing w:after="0" w:line="240" w:lineRule="auto"/>
              <w:jc w:val="both"/>
              <w:rPr>
                <w:rFonts w:eastAsia="Times New Roman"/>
                <w:color w:val="000000"/>
                <w:sz w:val="22"/>
                <w:lang w:val="lv-LV" w:eastAsia="lv-LV"/>
              </w:rPr>
            </w:pPr>
            <w:r w:rsidRPr="00D656D6">
              <w:rPr>
                <w:rFonts w:eastAsia="Times New Roman"/>
                <w:sz w:val="22"/>
                <w:lang w:val="lv-LV" w:eastAsia="lv-LV"/>
              </w:rPr>
              <w:t xml:space="preserve">Pieprasītais finansējuma apmērs ir aprēķināts aritmētiski pareizi un nepārsniedz </w:t>
            </w:r>
            <w:r w:rsidRPr="00D656D6">
              <w:rPr>
                <w:rFonts w:eastAsia="Times New Roman"/>
                <w:color w:val="000000"/>
                <w:sz w:val="22"/>
                <w:lang w:val="lv-LV" w:eastAsia="lv-LV"/>
              </w:rPr>
              <w:t xml:space="preserve">MK  noteikumos Nr.365 noteikto  </w:t>
            </w:r>
            <w:r w:rsidRPr="00D656D6">
              <w:rPr>
                <w:rFonts w:eastAsia="Times New Roman"/>
                <w:sz w:val="22"/>
                <w:lang w:val="lv-LV" w:eastAsia="lv-LV"/>
              </w:rPr>
              <w:t>maksimālo finansējuma apmēru.</w:t>
            </w:r>
          </w:p>
        </w:tc>
        <w:tc>
          <w:tcPr>
            <w:tcW w:w="6699" w:type="dxa"/>
          </w:tcPr>
          <w:p w14:paraId="3C14CE82" w14:textId="77777777" w:rsidR="00791FDF" w:rsidRPr="00D656D6" w:rsidRDefault="00791FDF" w:rsidP="004A3D64">
            <w:pPr>
              <w:widowControl/>
              <w:spacing w:line="240" w:lineRule="auto"/>
              <w:jc w:val="both"/>
              <w:rPr>
                <w:sz w:val="22"/>
                <w:lang w:val="lv-LV"/>
              </w:rPr>
            </w:pPr>
            <w:r w:rsidRPr="00D656D6">
              <w:rPr>
                <w:sz w:val="22"/>
                <w:lang w:val="lv-LV"/>
              </w:rPr>
              <w:t>Pārbauda, vai pieprasītā finansējuma intensitāte nepārsniedz normatīvajā aktā par pasākuma īstenošanu:</w:t>
            </w:r>
          </w:p>
          <w:p w14:paraId="05432EBE" w14:textId="77777777" w:rsidR="00791FDF" w:rsidRPr="00D656D6" w:rsidRDefault="00791FDF" w:rsidP="00791FDF">
            <w:pPr>
              <w:widowControl/>
              <w:numPr>
                <w:ilvl w:val="0"/>
                <w:numId w:val="1"/>
              </w:numPr>
              <w:spacing w:after="0" w:line="240" w:lineRule="auto"/>
              <w:jc w:val="both"/>
              <w:rPr>
                <w:iCs/>
                <w:sz w:val="22"/>
                <w:szCs w:val="24"/>
                <w:lang w:val="lv-LV"/>
              </w:rPr>
            </w:pPr>
            <w:r w:rsidRPr="00D656D6">
              <w:rPr>
                <w:rFonts w:eastAsia="Times New Roman"/>
                <w:bCs/>
                <w:color w:val="000000"/>
                <w:kern w:val="28"/>
                <w:sz w:val="22"/>
                <w:lang w:val="lv-LV" w:eastAsia="x-none"/>
              </w:rPr>
              <w:t>MK noteikumu Nr.365</w:t>
            </w:r>
            <w:r w:rsidRPr="00D656D6">
              <w:rPr>
                <w:sz w:val="22"/>
                <w:szCs w:val="24"/>
                <w:lang w:val="lv-LV"/>
              </w:rPr>
              <w:t xml:space="preserve"> 73.punktā noteikto maksimāli pieļaujamo finansējuma intensitāti, </w:t>
            </w:r>
            <w:r w:rsidRPr="00D656D6">
              <w:rPr>
                <w:sz w:val="22"/>
                <w:szCs w:val="24"/>
                <w:shd w:val="clear" w:color="auto" w:fill="FFFFFF"/>
                <w:lang w:val="lv-LV"/>
              </w:rPr>
              <w:t> ja tiek sniegts </w:t>
            </w:r>
            <w:r w:rsidRPr="00D656D6">
              <w:rPr>
                <w:i/>
                <w:iCs/>
                <w:sz w:val="22"/>
                <w:szCs w:val="24"/>
                <w:shd w:val="clear" w:color="auto" w:fill="FFFFFF"/>
                <w:lang w:val="lv-LV"/>
              </w:rPr>
              <w:t>de minimis</w:t>
            </w:r>
            <w:r w:rsidRPr="00D656D6">
              <w:rPr>
                <w:sz w:val="22"/>
                <w:szCs w:val="24"/>
                <w:shd w:val="clear" w:color="auto" w:fill="FFFFFF"/>
                <w:lang w:val="lv-LV"/>
              </w:rPr>
              <w:t> atbalsts atbilstoši Komisijas regulai Nr. </w:t>
            </w:r>
            <w:hyperlink r:id="rId5" w:tgtFrame="_blank" w:history="1">
              <w:r w:rsidRPr="00D656D6">
                <w:rPr>
                  <w:sz w:val="22"/>
                  <w:szCs w:val="24"/>
                  <w:u w:val="single"/>
                  <w:shd w:val="clear" w:color="auto" w:fill="FFFFFF"/>
                  <w:lang w:val="lv-LV"/>
                </w:rPr>
                <w:t>1407/2013</w:t>
              </w:r>
            </w:hyperlink>
            <w:r w:rsidRPr="00D656D6">
              <w:rPr>
                <w:sz w:val="22"/>
                <w:szCs w:val="24"/>
                <w:lang w:val="lv-LV"/>
              </w:rPr>
              <w:t>:</w:t>
            </w:r>
          </w:p>
          <w:p w14:paraId="7D64D682" w14:textId="77777777" w:rsidR="00791FDF" w:rsidRPr="00D656D6" w:rsidRDefault="00791FDF" w:rsidP="00791FDF">
            <w:pPr>
              <w:widowControl/>
              <w:numPr>
                <w:ilvl w:val="3"/>
                <w:numId w:val="1"/>
              </w:numPr>
              <w:spacing w:after="0" w:line="240" w:lineRule="auto"/>
              <w:ind w:left="641" w:hanging="425"/>
              <w:contextualSpacing/>
              <w:jc w:val="both"/>
              <w:rPr>
                <w:sz w:val="22"/>
                <w:lang w:val="lv-LV"/>
              </w:rPr>
            </w:pPr>
            <w:r w:rsidRPr="00D656D6">
              <w:rPr>
                <w:sz w:val="22"/>
                <w:shd w:val="clear" w:color="auto" w:fill="FFFFFF"/>
                <w:lang w:val="lv-LV"/>
              </w:rPr>
              <w:lastRenderedPageBreak/>
              <w:t>sīkajam (mikro), mazajam un vidējam komersantam ir 100 % pirmajiem trim komersanta atbalstam pieteiktajiem nodarbinātajiem, 85 % nākamajiem pieteiktajiem komersanta nodarbinātajiem bez pievienotās vērtības nodokļa**;</w:t>
            </w:r>
          </w:p>
          <w:p w14:paraId="20862EDE" w14:textId="77777777" w:rsidR="00791FDF" w:rsidRPr="00D656D6" w:rsidRDefault="00791FDF" w:rsidP="00791FDF">
            <w:pPr>
              <w:widowControl/>
              <w:numPr>
                <w:ilvl w:val="3"/>
                <w:numId w:val="1"/>
              </w:numPr>
              <w:spacing w:after="0" w:line="240" w:lineRule="auto"/>
              <w:ind w:left="641" w:hanging="425"/>
              <w:contextualSpacing/>
              <w:jc w:val="both"/>
              <w:rPr>
                <w:sz w:val="22"/>
                <w:lang w:val="lv-LV"/>
              </w:rPr>
            </w:pPr>
            <w:r w:rsidRPr="00D656D6">
              <w:rPr>
                <w:sz w:val="22"/>
                <w:shd w:val="clear" w:color="auto" w:fill="FFFFFF"/>
                <w:lang w:val="lv-LV"/>
              </w:rPr>
              <w:t xml:space="preserve"> lielajam komersantam ir 85 % atbilstoši </w:t>
            </w:r>
            <w:r w:rsidRPr="00D656D6">
              <w:rPr>
                <w:rFonts w:eastAsia="Times New Roman"/>
                <w:color w:val="000000"/>
                <w:kern w:val="28"/>
                <w:sz w:val="22"/>
                <w:lang w:val="lv-LV" w:eastAsia="x-none"/>
              </w:rPr>
              <w:t xml:space="preserve">MK noteikumu Nr.365 </w:t>
            </w:r>
            <w:hyperlink r:id="rId6" w:anchor="p68" w:history="1">
              <w:r w:rsidRPr="00D656D6">
                <w:rPr>
                  <w:sz w:val="22"/>
                  <w:u w:val="single"/>
                  <w:shd w:val="clear" w:color="auto" w:fill="FFFFFF"/>
                  <w:lang w:val="lv-LV"/>
                </w:rPr>
                <w:t>6</w:t>
              </w:r>
            </w:hyperlink>
            <w:r w:rsidRPr="00D656D6">
              <w:rPr>
                <w:sz w:val="22"/>
                <w:shd w:val="clear" w:color="auto" w:fill="FFFFFF"/>
                <w:lang w:val="lv-LV"/>
              </w:rPr>
              <w:t>8. punktam, bez pievienotās vērtības nodokļa**</w:t>
            </w:r>
            <w:r w:rsidRPr="00D656D6">
              <w:rPr>
                <w:sz w:val="22"/>
                <w:lang w:val="lv-LV"/>
              </w:rPr>
              <w:t>.</w:t>
            </w:r>
          </w:p>
          <w:p w14:paraId="56C0B504" w14:textId="77777777" w:rsidR="00791FDF" w:rsidRPr="00D656D6" w:rsidRDefault="00791FDF" w:rsidP="004A3D64">
            <w:pPr>
              <w:widowControl/>
              <w:spacing w:after="0" w:line="240" w:lineRule="auto"/>
              <w:ind w:left="720"/>
              <w:jc w:val="both"/>
              <w:rPr>
                <w:iCs/>
                <w:sz w:val="22"/>
                <w:szCs w:val="24"/>
                <w:lang w:val="lv-LV"/>
              </w:rPr>
            </w:pPr>
            <w:r w:rsidRPr="00D656D6">
              <w:rPr>
                <w:rFonts w:eastAsiaTheme="minorEastAsia"/>
                <w:sz w:val="22"/>
                <w:szCs w:val="24"/>
                <w:lang w:val="lv-LV"/>
              </w:rPr>
              <w:t xml:space="preserve">Minētās izmaksas sedz saskaņā ar Komisijas regulu Nr. 1407/2013 un normatīvajiem aktiem par </w:t>
            </w:r>
            <w:r w:rsidRPr="00D656D6">
              <w:rPr>
                <w:rFonts w:eastAsiaTheme="minorEastAsia"/>
                <w:i/>
                <w:iCs/>
                <w:sz w:val="22"/>
                <w:szCs w:val="24"/>
                <w:lang w:val="lv-LV"/>
              </w:rPr>
              <w:t>de minimis</w:t>
            </w:r>
            <w:r w:rsidRPr="00D656D6">
              <w:rPr>
                <w:rFonts w:eastAsiaTheme="minorEastAsia"/>
                <w:sz w:val="22"/>
                <w:szCs w:val="24"/>
                <w:lang w:val="lv-LV"/>
              </w:rPr>
              <w:t xml:space="preserve"> atbalsta uzskaites un piešķiršanas kārtību un </w:t>
            </w:r>
            <w:r w:rsidRPr="00D656D6">
              <w:rPr>
                <w:rFonts w:eastAsiaTheme="minorEastAsia"/>
                <w:i/>
                <w:iCs/>
                <w:sz w:val="22"/>
                <w:szCs w:val="24"/>
                <w:lang w:val="lv-LV"/>
              </w:rPr>
              <w:t>de minimis</w:t>
            </w:r>
            <w:r w:rsidRPr="00D656D6">
              <w:rPr>
                <w:rFonts w:eastAsiaTheme="minorEastAsia"/>
                <w:sz w:val="22"/>
                <w:szCs w:val="24"/>
                <w:lang w:val="lv-LV"/>
              </w:rPr>
              <w:t xml:space="preserve"> atbalsta uzskaites veidlapu paraugiem.</w:t>
            </w:r>
          </w:p>
          <w:p w14:paraId="39ED4766" w14:textId="77777777" w:rsidR="00791FDF" w:rsidRPr="00D656D6" w:rsidRDefault="00791FDF" w:rsidP="004A3D64">
            <w:pPr>
              <w:widowControl/>
              <w:spacing w:after="0" w:line="240" w:lineRule="auto"/>
              <w:ind w:left="641"/>
              <w:contextualSpacing/>
              <w:jc w:val="both"/>
              <w:rPr>
                <w:sz w:val="22"/>
                <w:lang w:val="lv-LV"/>
              </w:rPr>
            </w:pPr>
          </w:p>
          <w:p w14:paraId="5ED8F1F0" w14:textId="77777777" w:rsidR="00791FDF" w:rsidRPr="00D656D6" w:rsidRDefault="00791FDF" w:rsidP="004A3D64">
            <w:pPr>
              <w:widowControl/>
              <w:spacing w:line="240" w:lineRule="auto"/>
              <w:ind w:left="360"/>
              <w:contextualSpacing/>
              <w:jc w:val="both"/>
              <w:rPr>
                <w:sz w:val="22"/>
                <w:szCs w:val="24"/>
                <w:lang w:val="lv-LV"/>
              </w:rPr>
            </w:pPr>
            <w:r w:rsidRPr="00D656D6">
              <w:rPr>
                <w:sz w:val="22"/>
                <w:szCs w:val="24"/>
                <w:lang w:val="lv-LV"/>
              </w:rPr>
              <w:t xml:space="preserve">2) </w:t>
            </w:r>
            <w:r w:rsidRPr="00D656D6">
              <w:rPr>
                <w:rFonts w:eastAsiaTheme="minorEastAsia"/>
                <w:sz w:val="22"/>
                <w:szCs w:val="24"/>
                <w:lang w:val="lv-LV"/>
              </w:rPr>
              <w:t xml:space="preserve">Minēto izmaksu segšanai saskaņā ar Komisijas regulas Nr. 651/2014 31. pantu, ja izpildās  MK noteikumu Nr.365 69. punktā minētais (maksimālais </w:t>
            </w:r>
            <w:r w:rsidRPr="00D656D6">
              <w:rPr>
                <w:rFonts w:eastAsiaTheme="minorEastAsia"/>
                <w:i/>
                <w:iCs/>
                <w:sz w:val="22"/>
                <w:szCs w:val="24"/>
                <w:lang w:val="lv-LV"/>
              </w:rPr>
              <w:t>de minimis</w:t>
            </w:r>
            <w:r w:rsidRPr="00D656D6">
              <w:rPr>
                <w:rFonts w:eastAsiaTheme="minorEastAsia"/>
                <w:sz w:val="22"/>
                <w:szCs w:val="24"/>
                <w:lang w:val="lv-LV"/>
              </w:rPr>
              <w:t xml:space="preserve"> atbalsts tiks pārsniegts).</w:t>
            </w:r>
          </w:p>
          <w:p w14:paraId="43C674E1" w14:textId="77777777" w:rsidR="00791FDF" w:rsidRPr="00D656D6" w:rsidRDefault="00791FDF" w:rsidP="004A3D64">
            <w:pPr>
              <w:widowControl/>
              <w:ind w:left="360"/>
              <w:contextualSpacing/>
              <w:jc w:val="both"/>
              <w:rPr>
                <w:rFonts w:eastAsia="Times New Roman"/>
                <w:bCs/>
                <w:color w:val="000000"/>
                <w:kern w:val="28"/>
                <w:sz w:val="22"/>
                <w:lang w:val="lv-LV" w:eastAsia="x-none"/>
              </w:rPr>
            </w:pPr>
          </w:p>
          <w:p w14:paraId="2F7EBCC6" w14:textId="77777777" w:rsidR="00791FDF" w:rsidRPr="00D656D6" w:rsidRDefault="00791FDF" w:rsidP="004A3D64">
            <w:pPr>
              <w:widowControl/>
              <w:spacing w:line="240" w:lineRule="auto"/>
              <w:ind w:left="360"/>
              <w:contextualSpacing/>
              <w:jc w:val="both"/>
              <w:rPr>
                <w:sz w:val="22"/>
                <w:szCs w:val="24"/>
                <w:lang w:val="lv-LV"/>
              </w:rPr>
            </w:pPr>
            <w:r w:rsidRPr="00D656D6">
              <w:rPr>
                <w:rFonts w:eastAsia="Times New Roman"/>
                <w:bCs/>
                <w:color w:val="000000"/>
                <w:kern w:val="28"/>
                <w:sz w:val="22"/>
                <w:lang w:val="lv-LV" w:eastAsia="x-none"/>
              </w:rPr>
              <w:t xml:space="preserve">MK noteikumu Nr.365 </w:t>
            </w:r>
            <w:r w:rsidRPr="00D656D6">
              <w:rPr>
                <w:sz w:val="22"/>
                <w:szCs w:val="24"/>
                <w:lang w:val="lv-LV"/>
              </w:rPr>
              <w:t>58. un 59.punktā noteikto maksimāli pieļaujamo finansējuma intensitāti:</w:t>
            </w:r>
          </w:p>
          <w:p w14:paraId="2C1CB406" w14:textId="77777777" w:rsidR="00791FDF" w:rsidRPr="00D656D6" w:rsidRDefault="00791FDF" w:rsidP="00791FDF">
            <w:pPr>
              <w:widowControl/>
              <w:numPr>
                <w:ilvl w:val="0"/>
                <w:numId w:val="2"/>
              </w:numPr>
              <w:spacing w:after="0" w:line="240" w:lineRule="auto"/>
              <w:contextualSpacing/>
              <w:jc w:val="both"/>
              <w:rPr>
                <w:sz w:val="22"/>
                <w:lang w:val="lv-LV"/>
              </w:rPr>
            </w:pPr>
            <w:r w:rsidRPr="00D656D6">
              <w:rPr>
                <w:sz w:val="22"/>
                <w:lang w:val="lv-LV"/>
              </w:rPr>
              <w:t>lielajiem komersantiem – 50%, bez pievienotās vērtības nodokļa**;</w:t>
            </w:r>
          </w:p>
          <w:p w14:paraId="64331794" w14:textId="77777777" w:rsidR="00791FDF" w:rsidRPr="00D656D6" w:rsidRDefault="00791FDF" w:rsidP="004A3D64">
            <w:pPr>
              <w:widowControl/>
              <w:spacing w:after="0" w:line="240" w:lineRule="auto"/>
              <w:ind w:left="720"/>
              <w:contextualSpacing/>
              <w:jc w:val="both"/>
              <w:rPr>
                <w:sz w:val="22"/>
                <w:lang w:val="lv-LV"/>
              </w:rPr>
            </w:pPr>
          </w:p>
          <w:p w14:paraId="171C7AF6" w14:textId="77777777" w:rsidR="00791FDF" w:rsidRPr="00D656D6" w:rsidRDefault="00791FDF" w:rsidP="004A3D64">
            <w:pPr>
              <w:widowControl/>
              <w:spacing w:after="0" w:line="240" w:lineRule="auto"/>
              <w:jc w:val="both"/>
              <w:rPr>
                <w:rFonts w:eastAsia="Times New Roman"/>
                <w:i/>
                <w:iCs/>
                <w:sz w:val="22"/>
                <w:lang w:val="lv-LV"/>
              </w:rPr>
            </w:pPr>
            <w:r w:rsidRPr="00D656D6">
              <w:rPr>
                <w:i/>
                <w:iCs/>
                <w:sz w:val="22"/>
                <w:lang w:val="lv-LV"/>
              </w:rPr>
              <w:t>**</w:t>
            </w:r>
            <w:r w:rsidRPr="00D656D6">
              <w:rPr>
                <w:rFonts w:eastAsia="Arial"/>
                <w:i/>
                <w:iCs/>
                <w:sz w:val="22"/>
                <w:lang w:val="lv-LV"/>
              </w:rPr>
              <w:t xml:space="preserve"> </w:t>
            </w:r>
            <w:r w:rsidRPr="00D656D6">
              <w:rPr>
                <w:rFonts w:eastAsia="Times New Roman"/>
                <w:i/>
                <w:iCs/>
                <w:sz w:val="22"/>
                <w:lang w:val="lv-LV"/>
              </w:rPr>
              <w:t xml:space="preserve">ietverot 100 % no ārpakalpojuma izmaksu pievienotās vērtības nodokļa daļas, kuru maksā MK noteikumu Nr.365 13.3. apakšpunktā minētais finansējuma saņēmējs atbilstoši MK noteikumu Nr. 365 </w:t>
            </w:r>
            <w:hyperlink r:id="rId7" w:anchor="n33.3" w:history="1">
              <w:r w:rsidRPr="00D656D6">
                <w:rPr>
                  <w:rFonts w:eastAsia="Arial"/>
                  <w:i/>
                  <w:iCs/>
                  <w:color w:val="0563C1"/>
                  <w:sz w:val="22"/>
                  <w:u w:val="single"/>
                  <w:lang w:val="lv-LV"/>
                </w:rPr>
                <w:t>33.3</w:t>
              </w:r>
            </w:hyperlink>
            <w:r w:rsidRPr="00D656D6">
              <w:rPr>
                <w:rFonts w:eastAsia="Times New Roman"/>
                <w:i/>
                <w:iCs/>
                <w:sz w:val="22"/>
                <w:lang w:val="lv-LV"/>
              </w:rPr>
              <w:t>. apakšpunktam.</w:t>
            </w:r>
          </w:p>
          <w:p w14:paraId="3AA5DBF3" w14:textId="77777777" w:rsidR="00791FDF" w:rsidRPr="00D656D6" w:rsidRDefault="00791FDF" w:rsidP="004A3D64">
            <w:pPr>
              <w:widowControl/>
              <w:shd w:val="clear" w:color="auto" w:fill="FFFFFF"/>
              <w:spacing w:before="120" w:after="0" w:line="240" w:lineRule="auto"/>
              <w:jc w:val="both"/>
              <w:rPr>
                <w:rFonts w:eastAsia="Times New Roman"/>
                <w:sz w:val="27"/>
                <w:szCs w:val="27"/>
                <w:lang w:val="lv-LV" w:eastAsia="lv-LV"/>
              </w:rPr>
            </w:pPr>
            <w:r w:rsidRPr="00D656D6">
              <w:rPr>
                <w:sz w:val="22"/>
                <w:lang w:val="lv-LV"/>
              </w:rPr>
              <w:t xml:space="preserve">Saskaņā </w:t>
            </w:r>
            <w:r w:rsidRPr="00D656D6">
              <w:rPr>
                <w:sz w:val="22"/>
                <w:szCs w:val="24"/>
                <w:lang w:val="lv-LV"/>
              </w:rPr>
              <w:t>ar Komisijas regulas Nr. 651/2014 31. panta 4. punktu atbalsta intensitāti var paaugstināt ne vairāk kā līdz 70%</w:t>
            </w:r>
            <w:r w:rsidRPr="00D656D6">
              <w:rPr>
                <w:rFonts w:eastAsia="Times New Roman"/>
                <w:sz w:val="22"/>
                <w:szCs w:val="24"/>
                <w:lang w:val="lv-LV" w:eastAsia="lv-LV"/>
              </w:rPr>
              <w:t xml:space="preserve"> no attiecināmajām izmaksām šādi:</w:t>
            </w:r>
          </w:p>
          <w:tbl>
            <w:tblPr>
              <w:tblW w:w="4723" w:type="pct"/>
              <w:shd w:val="clear" w:color="auto" w:fill="FFFFFF"/>
              <w:tblLayout w:type="fixed"/>
              <w:tblCellMar>
                <w:left w:w="0" w:type="dxa"/>
                <w:right w:w="0" w:type="dxa"/>
              </w:tblCellMar>
              <w:tblLook w:val="04A0" w:firstRow="1" w:lastRow="0" w:firstColumn="1" w:lastColumn="0" w:noHBand="0" w:noVBand="1"/>
            </w:tblPr>
            <w:tblGrid>
              <w:gridCol w:w="27"/>
              <w:gridCol w:w="6097"/>
            </w:tblGrid>
            <w:tr w:rsidR="00791FDF" w:rsidRPr="00436D22" w14:paraId="7D3E9729" w14:textId="77777777" w:rsidTr="004A3D64">
              <w:tc>
                <w:tcPr>
                  <w:tcW w:w="20" w:type="dxa"/>
                  <w:shd w:val="clear" w:color="auto" w:fill="FFFFFF"/>
                  <w:hideMark/>
                </w:tcPr>
                <w:p w14:paraId="07F3D60B" w14:textId="77777777" w:rsidR="00791FDF" w:rsidRPr="00D656D6" w:rsidRDefault="00791FDF" w:rsidP="004A3D64">
                  <w:pPr>
                    <w:widowControl/>
                    <w:spacing w:before="120" w:after="0" w:line="240" w:lineRule="auto"/>
                    <w:jc w:val="both"/>
                    <w:rPr>
                      <w:rFonts w:eastAsia="Times New Roman"/>
                      <w:sz w:val="22"/>
                      <w:szCs w:val="24"/>
                      <w:lang w:val="lv-LV" w:eastAsia="lv-LV"/>
                    </w:rPr>
                  </w:pPr>
                </w:p>
              </w:tc>
              <w:tc>
                <w:tcPr>
                  <w:tcW w:w="4435" w:type="dxa"/>
                  <w:shd w:val="clear" w:color="auto" w:fill="FFFFFF"/>
                  <w:hideMark/>
                </w:tcPr>
                <w:p w14:paraId="30671287" w14:textId="77777777" w:rsidR="00791FDF" w:rsidRPr="00D656D6" w:rsidRDefault="00791FDF" w:rsidP="004A3D64">
                  <w:pPr>
                    <w:widowControl/>
                    <w:spacing w:before="120" w:after="0" w:line="240" w:lineRule="auto"/>
                    <w:ind w:left="276" w:hanging="129"/>
                    <w:jc w:val="both"/>
                    <w:rPr>
                      <w:rFonts w:eastAsia="Times New Roman"/>
                      <w:sz w:val="22"/>
                      <w:szCs w:val="24"/>
                      <w:lang w:val="lv-LV" w:eastAsia="lv-LV"/>
                    </w:rPr>
                  </w:pPr>
                  <w:r w:rsidRPr="00D656D6">
                    <w:rPr>
                      <w:rFonts w:eastAsia="Times New Roman"/>
                      <w:sz w:val="22"/>
                      <w:szCs w:val="24"/>
                      <w:lang w:val="lv-LV" w:eastAsia="lv-LV"/>
                    </w:rPr>
                    <w:t>● par 10 procentpunktiem, ja mācības tiek nodrošinātas strādājošām personām ar invaliditāti vai nelabvēlīgākā situācijā esošiem darba ņēmējiem;</w:t>
                  </w:r>
                </w:p>
              </w:tc>
            </w:tr>
          </w:tbl>
          <w:p w14:paraId="653A0318" w14:textId="77777777" w:rsidR="00791FDF" w:rsidRPr="00D656D6" w:rsidRDefault="00791FDF" w:rsidP="004A3D64">
            <w:pPr>
              <w:widowControl/>
              <w:spacing w:after="0" w:line="240" w:lineRule="auto"/>
              <w:rPr>
                <w:rFonts w:eastAsia="Times New Roman"/>
                <w:vanish/>
                <w:sz w:val="22"/>
                <w:szCs w:val="24"/>
                <w:lang w:val="lv-LV" w:eastAsia="lv-LV"/>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62"/>
              <w:gridCol w:w="6321"/>
            </w:tblGrid>
            <w:tr w:rsidR="00791FDF" w:rsidRPr="00436D22" w14:paraId="5330B63D" w14:textId="77777777" w:rsidTr="004A3D64">
              <w:tc>
                <w:tcPr>
                  <w:tcW w:w="225" w:type="dxa"/>
                  <w:shd w:val="clear" w:color="auto" w:fill="FFFFFF"/>
                </w:tcPr>
                <w:p w14:paraId="7D958BA7" w14:textId="77777777" w:rsidR="00791FDF" w:rsidRPr="00D656D6" w:rsidRDefault="00791FDF" w:rsidP="004A3D64">
                  <w:pPr>
                    <w:widowControl/>
                    <w:spacing w:before="120" w:after="0" w:line="240" w:lineRule="auto"/>
                    <w:jc w:val="both"/>
                    <w:rPr>
                      <w:rFonts w:eastAsia="Times New Roman"/>
                      <w:sz w:val="22"/>
                      <w:szCs w:val="24"/>
                      <w:lang w:val="lv-LV" w:eastAsia="lv-LV"/>
                    </w:rPr>
                  </w:pPr>
                </w:p>
              </w:tc>
              <w:tc>
                <w:tcPr>
                  <w:tcW w:w="9135" w:type="dxa"/>
                  <w:shd w:val="clear" w:color="auto" w:fill="FFFFFF"/>
                  <w:hideMark/>
                </w:tcPr>
                <w:p w14:paraId="6D1B80FF" w14:textId="77777777" w:rsidR="00791FDF" w:rsidRPr="00D656D6" w:rsidRDefault="00791FDF" w:rsidP="004A3D64">
                  <w:pPr>
                    <w:widowControl/>
                    <w:spacing w:before="120" w:after="0" w:line="240" w:lineRule="auto"/>
                    <w:ind w:left="171" w:hanging="142"/>
                    <w:jc w:val="both"/>
                    <w:rPr>
                      <w:rFonts w:eastAsia="Times New Roman"/>
                      <w:sz w:val="22"/>
                      <w:szCs w:val="24"/>
                      <w:lang w:val="lv-LV" w:eastAsia="lv-LV"/>
                    </w:rPr>
                  </w:pPr>
                  <w:r w:rsidRPr="00D656D6">
                    <w:rPr>
                      <w:rFonts w:eastAsia="Times New Roman"/>
                      <w:sz w:val="22"/>
                      <w:szCs w:val="24"/>
                      <w:lang w:val="lv-LV" w:eastAsia="lv-LV"/>
                    </w:rPr>
                    <w:t>● par 10 procentpunktiem, ja atbalstu piešķir vidējiem uzņēmumiem (t.i. 60%, bez PVN), un par 20 procentpunktiem (t.i. 70%, bez PVN), ja atbalstu piešķir maziem uzņēmumiem.</w:t>
                  </w:r>
                </w:p>
              </w:tc>
            </w:tr>
          </w:tbl>
          <w:p w14:paraId="0ECC28E4" w14:textId="77777777" w:rsidR="00791FDF" w:rsidRPr="00D656D6" w:rsidRDefault="00791FDF" w:rsidP="004A3D64">
            <w:pPr>
              <w:widowControl/>
              <w:spacing w:after="0" w:line="240" w:lineRule="auto"/>
              <w:jc w:val="both"/>
              <w:rPr>
                <w:rFonts w:eastAsia="Times New Roman"/>
                <w:sz w:val="22"/>
                <w:lang w:val="lv-LV"/>
              </w:rPr>
            </w:pPr>
          </w:p>
          <w:p w14:paraId="4949676D" w14:textId="77777777" w:rsidR="00791FDF" w:rsidRPr="00D656D6" w:rsidRDefault="00791FDF" w:rsidP="004A3D64">
            <w:pPr>
              <w:widowControl/>
              <w:spacing w:after="0" w:line="240" w:lineRule="auto"/>
              <w:jc w:val="both"/>
              <w:rPr>
                <w:rFonts w:eastAsia="Times New Roman"/>
                <w:sz w:val="22"/>
                <w:lang w:val="lv-LV"/>
              </w:rPr>
            </w:pPr>
          </w:p>
          <w:p w14:paraId="2011AE12" w14:textId="77777777" w:rsidR="00791FDF" w:rsidRPr="00D656D6" w:rsidRDefault="00791FDF" w:rsidP="004A3D64">
            <w:pPr>
              <w:widowControl/>
              <w:spacing w:line="240" w:lineRule="auto"/>
              <w:jc w:val="both"/>
              <w:rPr>
                <w:sz w:val="22"/>
                <w:lang w:val="lv-LV"/>
              </w:rPr>
            </w:pPr>
            <w:r w:rsidRPr="00D656D6">
              <w:rPr>
                <w:sz w:val="22"/>
                <w:lang w:val="lv-LV"/>
              </w:rPr>
              <w:t>Ja atbalsta intensitāte tiek palielināta par 10 procentpunktiem, pārbauda, vai PIV 4.1. sadaļā ir norādīts, ka apmācību projekta ietvaros mācības tiks nodrošinātas strādājošajiem ar invaliditāti vai mācības tiek nodrošinātas nelabvēlīgākā situācijā esošiem darba ņēmējiem. Veic datu salīdzināšanu ar MP 3. sadaļu.</w:t>
            </w:r>
          </w:p>
          <w:p w14:paraId="614FAA79" w14:textId="77777777" w:rsidR="00791FDF" w:rsidRPr="00D656D6" w:rsidRDefault="00791FDF" w:rsidP="004A3D64">
            <w:pPr>
              <w:widowControl/>
              <w:spacing w:after="0" w:line="240" w:lineRule="auto"/>
              <w:ind w:left="360"/>
              <w:contextualSpacing/>
              <w:jc w:val="both"/>
              <w:rPr>
                <w:rFonts w:eastAsia="MS Mincho"/>
                <w:iCs/>
                <w:sz w:val="22"/>
                <w:lang w:val="lv-LV" w:eastAsia="ja-JP"/>
              </w:rPr>
            </w:pPr>
            <w:r w:rsidRPr="00D656D6">
              <w:rPr>
                <w:sz w:val="22"/>
                <w:lang w:val="lv-LV"/>
              </w:rPr>
              <w:t>3) Pieprasītais atbalsta apjoms nepārsniedz atbalsta līgumā noteikto atbalsta apmēru.</w:t>
            </w:r>
          </w:p>
          <w:p w14:paraId="484BDE2A" w14:textId="77777777" w:rsidR="00791FDF" w:rsidRPr="00D656D6" w:rsidRDefault="00791FDF" w:rsidP="004A3D64">
            <w:pPr>
              <w:widowControl/>
              <w:tabs>
                <w:tab w:val="left" w:pos="706"/>
              </w:tabs>
              <w:autoSpaceDE w:val="0"/>
              <w:autoSpaceDN w:val="0"/>
              <w:adjustRightInd w:val="0"/>
              <w:spacing w:after="0" w:line="245" w:lineRule="exact"/>
              <w:jc w:val="both"/>
              <w:rPr>
                <w:rFonts w:eastAsia="Times New Roman"/>
                <w:sz w:val="22"/>
                <w:lang w:val="lv-LV" w:eastAsia="lv-LV"/>
              </w:rPr>
            </w:pPr>
          </w:p>
          <w:p w14:paraId="2196D4EA" w14:textId="77777777" w:rsidR="00791FDF" w:rsidRPr="00D656D6" w:rsidRDefault="00791FDF" w:rsidP="004A3D64">
            <w:pPr>
              <w:widowControl/>
              <w:tabs>
                <w:tab w:val="left" w:pos="706"/>
              </w:tabs>
              <w:autoSpaceDE w:val="0"/>
              <w:autoSpaceDN w:val="0"/>
              <w:adjustRightInd w:val="0"/>
              <w:spacing w:after="0" w:line="245" w:lineRule="exact"/>
              <w:jc w:val="both"/>
              <w:rPr>
                <w:rFonts w:eastAsia="Times New Roman"/>
                <w:sz w:val="22"/>
                <w:lang w:val="lv-LV" w:eastAsia="lv-LV"/>
              </w:rPr>
            </w:pPr>
            <w:r w:rsidRPr="00D656D6">
              <w:rPr>
                <w:rFonts w:eastAsia="Times New Roman"/>
                <w:sz w:val="22"/>
                <w:lang w:val="lv-LV" w:eastAsia="lv-LV"/>
              </w:rPr>
              <w:t>Atbalsta finansējuma apmēru (EUR) aprēķina = attiecināmo izmaksu summa (EUR) x atbalsta intensitāte %.</w:t>
            </w:r>
          </w:p>
          <w:p w14:paraId="3272DED0" w14:textId="77777777" w:rsidR="00791FDF" w:rsidRPr="00D656D6" w:rsidRDefault="00791FDF" w:rsidP="004A3D64">
            <w:pPr>
              <w:widowControl/>
              <w:tabs>
                <w:tab w:val="left" w:pos="706"/>
              </w:tabs>
              <w:autoSpaceDE w:val="0"/>
              <w:autoSpaceDN w:val="0"/>
              <w:adjustRightInd w:val="0"/>
              <w:spacing w:after="0" w:line="240" w:lineRule="auto"/>
              <w:jc w:val="both"/>
              <w:rPr>
                <w:rFonts w:eastAsia="Times New Roman"/>
                <w:sz w:val="22"/>
                <w:lang w:val="lv-LV" w:eastAsia="lv-LV"/>
              </w:rPr>
            </w:pPr>
            <w:r w:rsidRPr="00D656D6">
              <w:rPr>
                <w:rFonts w:eastAsia="Times New Roman"/>
                <w:sz w:val="22"/>
                <w:lang w:val="lv-LV" w:eastAsia="lv-LV"/>
              </w:rPr>
              <w:t>Atbalsta apmēru aprēķinos noapaļo uz leju.</w:t>
            </w:r>
          </w:p>
          <w:p w14:paraId="7BDAA82D" w14:textId="77777777" w:rsidR="00791FDF" w:rsidRPr="00D656D6" w:rsidRDefault="00791FDF" w:rsidP="004A3D64">
            <w:pPr>
              <w:widowControl/>
              <w:spacing w:after="0" w:line="240" w:lineRule="auto"/>
              <w:jc w:val="both"/>
              <w:rPr>
                <w:rFonts w:eastAsia="Times New Roman"/>
                <w:bCs/>
                <w:color w:val="000000"/>
                <w:kern w:val="28"/>
                <w:sz w:val="22"/>
                <w:lang w:val="lv-LV" w:eastAsia="x-none"/>
              </w:rPr>
            </w:pPr>
          </w:p>
        </w:tc>
        <w:tc>
          <w:tcPr>
            <w:tcW w:w="3549" w:type="dxa"/>
          </w:tcPr>
          <w:p w14:paraId="0E72C5A7" w14:textId="77777777" w:rsidR="00791FDF" w:rsidRPr="00D656D6" w:rsidRDefault="00791FDF" w:rsidP="004A3D64">
            <w:pPr>
              <w:widowControl/>
              <w:autoSpaceDE w:val="0"/>
              <w:autoSpaceDN w:val="0"/>
              <w:adjustRightInd w:val="0"/>
              <w:spacing w:after="0" w:line="240" w:lineRule="auto"/>
              <w:jc w:val="both"/>
              <w:rPr>
                <w:rFonts w:eastAsia="Times New Roman"/>
                <w:color w:val="000000"/>
                <w:sz w:val="22"/>
                <w:lang w:val="lv-LV" w:eastAsia="lv-LV"/>
              </w:rPr>
            </w:pPr>
            <w:r w:rsidRPr="00D656D6">
              <w:rPr>
                <w:rFonts w:eastAsia="Times New Roman"/>
                <w:color w:val="000000"/>
                <w:sz w:val="22"/>
                <w:lang w:val="lv-LV" w:eastAsia="lv-LV"/>
              </w:rPr>
              <w:lastRenderedPageBreak/>
              <w:t>1) MP 3.sadaļa</w:t>
            </w:r>
          </w:p>
          <w:p w14:paraId="64156285" w14:textId="77777777" w:rsidR="00791FDF" w:rsidRPr="00D656D6" w:rsidRDefault="00791FDF" w:rsidP="004A3D64">
            <w:pPr>
              <w:widowControl/>
              <w:autoSpaceDE w:val="0"/>
              <w:autoSpaceDN w:val="0"/>
              <w:adjustRightInd w:val="0"/>
              <w:spacing w:after="0" w:line="240" w:lineRule="auto"/>
              <w:jc w:val="both"/>
              <w:rPr>
                <w:rFonts w:eastAsia="Times New Roman"/>
                <w:color w:val="000000"/>
                <w:sz w:val="22"/>
                <w:lang w:val="lv-LV" w:eastAsia="lv-LV"/>
              </w:rPr>
            </w:pPr>
          </w:p>
        </w:tc>
      </w:tr>
      <w:tr w:rsidR="00791FDF" w:rsidRPr="00D656D6" w14:paraId="22EB4F9E" w14:textId="77777777" w:rsidTr="004A3D64">
        <w:trPr>
          <w:trHeight w:val="530"/>
        </w:trPr>
        <w:tc>
          <w:tcPr>
            <w:tcW w:w="720" w:type="dxa"/>
          </w:tcPr>
          <w:p w14:paraId="5272EBD0" w14:textId="77777777" w:rsidR="00791FDF" w:rsidRPr="00D656D6" w:rsidRDefault="00791FDF" w:rsidP="004A3D64">
            <w:pPr>
              <w:widowControl/>
              <w:spacing w:after="0" w:line="240" w:lineRule="auto"/>
              <w:jc w:val="center"/>
              <w:rPr>
                <w:rFonts w:eastAsia="Times New Roman"/>
                <w:color w:val="000000"/>
                <w:sz w:val="22"/>
                <w:lang w:val="lv-LV" w:eastAsia="lv-LV"/>
              </w:rPr>
            </w:pPr>
            <w:r w:rsidRPr="00D656D6">
              <w:rPr>
                <w:rFonts w:eastAsia="Times New Roman"/>
                <w:color w:val="000000"/>
                <w:sz w:val="22"/>
                <w:lang w:val="lv-LV" w:eastAsia="lv-LV"/>
              </w:rPr>
              <w:lastRenderedPageBreak/>
              <w:t>5.</w:t>
            </w:r>
          </w:p>
        </w:tc>
        <w:tc>
          <w:tcPr>
            <w:tcW w:w="3780" w:type="dxa"/>
          </w:tcPr>
          <w:p w14:paraId="1DCD5A97" w14:textId="77777777" w:rsidR="00791FDF" w:rsidRPr="00D656D6" w:rsidRDefault="00791FDF" w:rsidP="004A3D64">
            <w:pPr>
              <w:widowControl/>
              <w:spacing w:after="0" w:line="240" w:lineRule="auto"/>
              <w:jc w:val="both"/>
              <w:rPr>
                <w:rFonts w:eastAsia="Times New Roman"/>
                <w:color w:val="000000"/>
                <w:sz w:val="22"/>
                <w:lang w:val="lv-LV" w:eastAsia="lv-LV"/>
              </w:rPr>
            </w:pPr>
            <w:r w:rsidRPr="00D656D6">
              <w:rPr>
                <w:rFonts w:eastAsia="Times New Roman"/>
                <w:color w:val="000000"/>
                <w:sz w:val="22"/>
                <w:lang w:val="lv-LV" w:eastAsia="lv-LV"/>
              </w:rPr>
              <w:t>Ir iesniegti visi attiecināmās izmaksas apliecinošie dokumenti saskaņā ar MP 7.sadaļu “Papildus iesniedzamie attaisnojošie dokumenti”.</w:t>
            </w:r>
          </w:p>
        </w:tc>
        <w:tc>
          <w:tcPr>
            <w:tcW w:w="6699" w:type="dxa"/>
          </w:tcPr>
          <w:p w14:paraId="6A190607" w14:textId="77777777" w:rsidR="00791FDF" w:rsidRPr="00D656D6" w:rsidRDefault="00791FDF" w:rsidP="004A3D64">
            <w:pPr>
              <w:widowControl/>
              <w:spacing w:after="0" w:line="240" w:lineRule="auto"/>
              <w:jc w:val="both"/>
              <w:rPr>
                <w:rFonts w:eastAsia="Times New Roman"/>
                <w:color w:val="000000"/>
                <w:sz w:val="22"/>
                <w:lang w:val="lv-LV"/>
              </w:rPr>
            </w:pPr>
            <w:r w:rsidRPr="00D656D6">
              <w:rPr>
                <w:rFonts w:eastAsia="Times New Roman"/>
                <w:color w:val="000000"/>
                <w:sz w:val="22"/>
                <w:lang w:val="lv-LV"/>
              </w:rPr>
              <w:t>Pārbauda, vai Aģentūrā ir iesniegti attiecināmās izmaksas apliecinošie dokumenti, kas norādīti maksājuma pieprasījuma sadaļā “Papildus iesniedzamie attaisnojošie dokumenti”.</w:t>
            </w:r>
          </w:p>
          <w:p w14:paraId="5D093D11" w14:textId="77777777" w:rsidR="00791FDF" w:rsidRPr="00D656D6" w:rsidRDefault="00791FDF" w:rsidP="004A3D64">
            <w:pPr>
              <w:widowControl/>
              <w:spacing w:after="0" w:line="240" w:lineRule="auto"/>
              <w:jc w:val="both"/>
              <w:rPr>
                <w:rFonts w:eastAsia="Times New Roman"/>
                <w:color w:val="000000"/>
                <w:sz w:val="22"/>
                <w:lang w:val="lv-LV"/>
              </w:rPr>
            </w:pPr>
            <w:r w:rsidRPr="00D656D6">
              <w:rPr>
                <w:rFonts w:eastAsia="Times New Roman"/>
                <w:color w:val="000000"/>
                <w:sz w:val="22"/>
                <w:lang w:val="lv-LV"/>
              </w:rPr>
              <w:t>Pārbauda, vai uz visiem darījumu un maksājumu apliecinošajiem dokumentiem ir norādīts Līguma numurs.</w:t>
            </w:r>
          </w:p>
          <w:p w14:paraId="46789F0D" w14:textId="77777777" w:rsidR="00791FDF" w:rsidRPr="00D656D6" w:rsidRDefault="00791FDF" w:rsidP="004A3D64">
            <w:pPr>
              <w:widowControl/>
              <w:spacing w:after="0" w:line="240" w:lineRule="auto"/>
              <w:jc w:val="both"/>
              <w:rPr>
                <w:rFonts w:eastAsia="Times New Roman"/>
                <w:bCs/>
                <w:color w:val="000000"/>
                <w:kern w:val="28"/>
                <w:sz w:val="22"/>
                <w:lang w:val="x-none"/>
              </w:rPr>
            </w:pPr>
            <w:proofErr w:type="spellStart"/>
            <w:r w:rsidRPr="00D656D6">
              <w:rPr>
                <w:rFonts w:eastAsia="Times New Roman"/>
                <w:bCs/>
                <w:color w:val="000000"/>
                <w:kern w:val="28"/>
                <w:sz w:val="22"/>
                <w:lang w:val="x-none"/>
              </w:rPr>
              <w:t>Gadījumā</w:t>
            </w:r>
            <w:proofErr w:type="spellEnd"/>
            <w:r w:rsidRPr="00D656D6">
              <w:rPr>
                <w:rFonts w:eastAsia="Times New Roman"/>
                <w:bCs/>
                <w:color w:val="000000"/>
                <w:kern w:val="28"/>
                <w:sz w:val="22"/>
                <w:lang w:val="x-none"/>
              </w:rPr>
              <w:t xml:space="preserve">, ja </w:t>
            </w:r>
            <w:proofErr w:type="spellStart"/>
            <w:r w:rsidRPr="00D656D6">
              <w:rPr>
                <w:rFonts w:eastAsia="Times New Roman"/>
                <w:bCs/>
                <w:color w:val="000000"/>
                <w:kern w:val="28"/>
                <w:sz w:val="22"/>
                <w:lang w:val="x-none"/>
              </w:rPr>
              <w:t>uz</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darījumu</w:t>
            </w:r>
            <w:proofErr w:type="spellEnd"/>
            <w:r w:rsidRPr="00D656D6">
              <w:rPr>
                <w:rFonts w:eastAsia="Times New Roman"/>
                <w:bCs/>
                <w:color w:val="000000"/>
                <w:kern w:val="28"/>
                <w:sz w:val="22"/>
                <w:lang w:val="x-none"/>
              </w:rPr>
              <w:t xml:space="preserve"> un </w:t>
            </w:r>
            <w:proofErr w:type="spellStart"/>
            <w:r w:rsidRPr="00D656D6">
              <w:rPr>
                <w:rFonts w:eastAsia="Times New Roman"/>
                <w:bCs/>
                <w:color w:val="000000"/>
                <w:kern w:val="28"/>
                <w:sz w:val="22"/>
                <w:lang w:val="x-none"/>
              </w:rPr>
              <w:t>maksājumu</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apliecinošajiem</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dokumentiem</w:t>
            </w:r>
            <w:proofErr w:type="spellEnd"/>
            <w:r w:rsidRPr="00D656D6">
              <w:rPr>
                <w:rFonts w:eastAsia="Times New Roman"/>
                <w:bCs/>
                <w:color w:val="000000"/>
                <w:kern w:val="28"/>
                <w:sz w:val="22"/>
                <w:lang w:val="x-none"/>
              </w:rPr>
              <w:t xml:space="preserve"> nav </w:t>
            </w:r>
            <w:proofErr w:type="spellStart"/>
            <w:r w:rsidRPr="00D656D6">
              <w:rPr>
                <w:rFonts w:eastAsia="Times New Roman"/>
                <w:bCs/>
                <w:color w:val="000000"/>
                <w:kern w:val="28"/>
                <w:sz w:val="22"/>
                <w:lang w:val="x-none"/>
              </w:rPr>
              <w:t>norādīts</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Līguma</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numurs</w:t>
            </w:r>
            <w:proofErr w:type="spellEnd"/>
            <w:r w:rsidRPr="00D656D6">
              <w:rPr>
                <w:rFonts w:eastAsia="Times New Roman"/>
                <w:bCs/>
                <w:color w:val="000000"/>
                <w:kern w:val="28"/>
                <w:sz w:val="22"/>
                <w:lang w:val="x-none"/>
              </w:rPr>
              <w:t xml:space="preserve">, </w:t>
            </w:r>
            <w:r w:rsidRPr="00D656D6">
              <w:rPr>
                <w:rFonts w:eastAsia="Times New Roman"/>
                <w:bCs/>
                <w:color w:val="000000"/>
                <w:kern w:val="28"/>
                <w:sz w:val="22"/>
                <w:lang w:val="lv-LV"/>
              </w:rPr>
              <w:t>Aģentūra</w:t>
            </w:r>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lūdz</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atbalsta</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saņēmēju</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iesniegt</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apliecinājumu</w:t>
            </w:r>
            <w:proofErr w:type="spellEnd"/>
            <w:r w:rsidRPr="00D656D6">
              <w:rPr>
                <w:rFonts w:eastAsia="Times New Roman"/>
                <w:bCs/>
                <w:color w:val="000000"/>
                <w:kern w:val="28"/>
                <w:sz w:val="22"/>
                <w:lang w:val="x-none"/>
              </w:rPr>
              <w:t xml:space="preserve">, ka </w:t>
            </w:r>
            <w:proofErr w:type="spellStart"/>
            <w:r w:rsidRPr="00D656D6">
              <w:rPr>
                <w:rFonts w:eastAsia="Times New Roman"/>
                <w:bCs/>
                <w:color w:val="000000"/>
                <w:kern w:val="28"/>
                <w:sz w:val="22"/>
                <w:lang w:val="x-none"/>
              </w:rPr>
              <w:t>uz</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visiem</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darījumu</w:t>
            </w:r>
            <w:proofErr w:type="spellEnd"/>
            <w:r w:rsidRPr="00D656D6">
              <w:rPr>
                <w:rFonts w:eastAsia="Times New Roman"/>
                <w:bCs/>
                <w:color w:val="000000"/>
                <w:kern w:val="28"/>
                <w:sz w:val="22"/>
                <w:lang w:val="x-none"/>
              </w:rPr>
              <w:t xml:space="preserve"> un </w:t>
            </w:r>
            <w:proofErr w:type="spellStart"/>
            <w:r w:rsidRPr="00D656D6">
              <w:rPr>
                <w:rFonts w:eastAsia="Times New Roman"/>
                <w:bCs/>
                <w:color w:val="000000"/>
                <w:kern w:val="28"/>
                <w:sz w:val="22"/>
                <w:lang w:val="x-none"/>
              </w:rPr>
              <w:t>maksājumu</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apliecinošajiem</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dokumentu</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oriģināliem</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ir</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norādīts</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Līguma</w:t>
            </w:r>
            <w:proofErr w:type="spellEnd"/>
            <w:r w:rsidRPr="00D656D6">
              <w:rPr>
                <w:rFonts w:eastAsia="Times New Roman"/>
                <w:bCs/>
                <w:color w:val="000000"/>
                <w:kern w:val="28"/>
                <w:sz w:val="22"/>
                <w:lang w:val="x-none"/>
              </w:rPr>
              <w:t xml:space="preserve"> </w:t>
            </w:r>
            <w:proofErr w:type="spellStart"/>
            <w:r w:rsidRPr="00D656D6">
              <w:rPr>
                <w:rFonts w:eastAsia="Times New Roman"/>
                <w:bCs/>
                <w:color w:val="000000"/>
                <w:kern w:val="28"/>
                <w:sz w:val="22"/>
                <w:lang w:val="x-none"/>
              </w:rPr>
              <w:t>numurs</w:t>
            </w:r>
            <w:proofErr w:type="spellEnd"/>
            <w:r w:rsidRPr="00D656D6">
              <w:rPr>
                <w:rFonts w:eastAsia="Times New Roman"/>
                <w:bCs/>
                <w:color w:val="000000"/>
                <w:kern w:val="28"/>
                <w:sz w:val="22"/>
                <w:lang w:val="x-none"/>
              </w:rPr>
              <w:t>.</w:t>
            </w:r>
          </w:p>
        </w:tc>
        <w:tc>
          <w:tcPr>
            <w:tcW w:w="3549" w:type="dxa"/>
          </w:tcPr>
          <w:p w14:paraId="1C7A8274" w14:textId="77777777" w:rsidR="00791FDF" w:rsidRPr="00D656D6" w:rsidRDefault="00791FDF" w:rsidP="004A3D64">
            <w:pPr>
              <w:widowControl/>
              <w:spacing w:after="0" w:line="240" w:lineRule="auto"/>
              <w:jc w:val="both"/>
              <w:rPr>
                <w:rFonts w:eastAsia="Times New Roman"/>
                <w:color w:val="000000"/>
                <w:sz w:val="22"/>
                <w:lang w:val="lv-LV"/>
              </w:rPr>
            </w:pPr>
            <w:r w:rsidRPr="00D656D6">
              <w:rPr>
                <w:rFonts w:eastAsia="Times New Roman"/>
                <w:color w:val="000000"/>
                <w:sz w:val="22"/>
                <w:lang w:val="lv-LV"/>
              </w:rPr>
              <w:t xml:space="preserve">MP  7.sadaļa </w:t>
            </w:r>
          </w:p>
        </w:tc>
      </w:tr>
      <w:tr w:rsidR="00791FDF" w:rsidRPr="00D656D6" w14:paraId="3B10B247" w14:textId="77777777" w:rsidTr="004A3D64">
        <w:trPr>
          <w:trHeight w:val="530"/>
        </w:trPr>
        <w:tc>
          <w:tcPr>
            <w:tcW w:w="720" w:type="dxa"/>
          </w:tcPr>
          <w:p w14:paraId="385A3212" w14:textId="77777777" w:rsidR="00791FDF" w:rsidRPr="00D656D6" w:rsidRDefault="00791FDF" w:rsidP="004A3D64">
            <w:pPr>
              <w:widowControl/>
              <w:spacing w:after="0" w:line="240" w:lineRule="auto"/>
              <w:jc w:val="center"/>
              <w:rPr>
                <w:rFonts w:eastAsia="Times New Roman"/>
                <w:color w:val="000000"/>
                <w:sz w:val="22"/>
                <w:lang w:val="lv-LV" w:eastAsia="lv-LV"/>
              </w:rPr>
            </w:pPr>
            <w:r w:rsidRPr="00D656D6">
              <w:rPr>
                <w:rFonts w:eastAsia="Times New Roman"/>
                <w:color w:val="000000"/>
                <w:sz w:val="22"/>
                <w:lang w:val="lv-LV" w:eastAsia="lv-LV"/>
              </w:rPr>
              <w:t>6.</w:t>
            </w:r>
          </w:p>
        </w:tc>
        <w:tc>
          <w:tcPr>
            <w:tcW w:w="3780" w:type="dxa"/>
          </w:tcPr>
          <w:p w14:paraId="773FB5ED" w14:textId="77777777" w:rsidR="00791FDF" w:rsidRPr="00D656D6" w:rsidRDefault="00791FDF" w:rsidP="004A3D64">
            <w:pPr>
              <w:widowControl/>
              <w:spacing w:after="0" w:line="240" w:lineRule="auto"/>
              <w:jc w:val="both"/>
              <w:rPr>
                <w:rFonts w:eastAsia="Times New Roman"/>
                <w:color w:val="000000"/>
                <w:sz w:val="22"/>
                <w:lang w:val="lv-LV" w:eastAsia="lv-LV"/>
              </w:rPr>
            </w:pPr>
            <w:r w:rsidRPr="00D656D6">
              <w:rPr>
                <w:rFonts w:eastAsia="Times New Roman"/>
                <w:sz w:val="22"/>
                <w:lang w:val="lv-LV" w:eastAsia="lv-LV"/>
              </w:rPr>
              <w:t>Atbalsta saņēmējs nav saņēmis līdzfinansējumu no citas atbalsta programmas ietvaros citas institūcijas (nav dubultais atbalsta finansējums).</w:t>
            </w:r>
          </w:p>
        </w:tc>
        <w:tc>
          <w:tcPr>
            <w:tcW w:w="6699" w:type="dxa"/>
          </w:tcPr>
          <w:p w14:paraId="623339AF" w14:textId="77777777" w:rsidR="00791FDF" w:rsidRPr="00D656D6" w:rsidRDefault="00791FDF" w:rsidP="004A3D64">
            <w:pPr>
              <w:widowControl/>
              <w:spacing w:after="0" w:line="240" w:lineRule="auto"/>
              <w:jc w:val="both"/>
              <w:rPr>
                <w:rFonts w:eastAsia="Times New Roman"/>
                <w:color w:val="000000"/>
                <w:sz w:val="22"/>
                <w:lang w:val="lv-LV"/>
              </w:rPr>
            </w:pPr>
            <w:r w:rsidRPr="00D656D6">
              <w:rPr>
                <w:rFonts w:eastAsia="ヒラギノ角ゴ Pro W3"/>
                <w:sz w:val="22"/>
                <w:lang w:val="lv-LV"/>
              </w:rPr>
              <w:t xml:space="preserve">Pārbauda, vai MP sniegts apliecinājums, ka </w:t>
            </w:r>
            <w:r w:rsidRPr="00D656D6">
              <w:rPr>
                <w:rFonts w:eastAsia="Times New Roman"/>
                <w:sz w:val="22"/>
                <w:lang w:val="lv-LV" w:eastAsia="lv-LV"/>
              </w:rPr>
              <w:t xml:space="preserve">atbalsta saņēmējs iepriekš nav saņēmis atbalstu  par maksājuma pārskatā iekļautajām darbībām  </w:t>
            </w:r>
          </w:p>
        </w:tc>
        <w:tc>
          <w:tcPr>
            <w:tcW w:w="3549" w:type="dxa"/>
          </w:tcPr>
          <w:p w14:paraId="6238E0B0" w14:textId="77777777" w:rsidR="00791FDF" w:rsidRPr="00D656D6" w:rsidRDefault="00791FDF" w:rsidP="004A3D64">
            <w:pPr>
              <w:widowControl/>
              <w:spacing w:after="0" w:line="240" w:lineRule="auto"/>
              <w:jc w:val="both"/>
              <w:rPr>
                <w:rFonts w:eastAsia="Times New Roman"/>
                <w:color w:val="000000"/>
                <w:sz w:val="22"/>
                <w:lang w:val="lv-LV"/>
              </w:rPr>
            </w:pPr>
            <w:r w:rsidRPr="00D656D6">
              <w:rPr>
                <w:rFonts w:eastAsia="Times New Roman"/>
                <w:color w:val="000000"/>
                <w:sz w:val="22"/>
                <w:lang w:val="lv-LV"/>
              </w:rPr>
              <w:t>MP 6.sadaļa</w:t>
            </w:r>
          </w:p>
        </w:tc>
      </w:tr>
      <w:tr w:rsidR="00791FDF" w:rsidRPr="00D656D6" w14:paraId="49B4C1D6" w14:textId="77777777" w:rsidTr="004A3D64">
        <w:trPr>
          <w:trHeight w:val="530"/>
        </w:trPr>
        <w:tc>
          <w:tcPr>
            <w:tcW w:w="720" w:type="dxa"/>
            <w:vAlign w:val="center"/>
          </w:tcPr>
          <w:p w14:paraId="0A942EAE" w14:textId="77777777" w:rsidR="00791FDF" w:rsidRPr="00D656D6" w:rsidRDefault="00791FDF" w:rsidP="004A3D64">
            <w:pPr>
              <w:widowControl/>
              <w:spacing w:after="0" w:line="240" w:lineRule="auto"/>
              <w:jc w:val="center"/>
              <w:rPr>
                <w:rFonts w:eastAsia="Times New Roman"/>
                <w:color w:val="000000"/>
                <w:sz w:val="22"/>
                <w:lang w:val="lv-LV" w:eastAsia="lv-LV"/>
              </w:rPr>
            </w:pPr>
            <w:r w:rsidRPr="00D656D6">
              <w:rPr>
                <w:rFonts w:eastAsia="Times New Roman"/>
                <w:color w:val="000000"/>
                <w:sz w:val="22"/>
                <w:lang w:val="lv-LV" w:eastAsia="lv-LV"/>
              </w:rPr>
              <w:lastRenderedPageBreak/>
              <w:t>7.</w:t>
            </w:r>
          </w:p>
        </w:tc>
        <w:tc>
          <w:tcPr>
            <w:tcW w:w="3780" w:type="dxa"/>
          </w:tcPr>
          <w:p w14:paraId="71CF775D" w14:textId="77777777" w:rsidR="00791FDF" w:rsidRPr="00D656D6" w:rsidRDefault="00791FDF" w:rsidP="004A3D64">
            <w:pPr>
              <w:widowControl/>
              <w:spacing w:after="0" w:line="240" w:lineRule="auto"/>
              <w:jc w:val="both"/>
              <w:rPr>
                <w:rFonts w:eastAsia="Times New Roman"/>
                <w:sz w:val="22"/>
                <w:lang w:val="lv-LV" w:eastAsia="lv-LV"/>
              </w:rPr>
            </w:pPr>
            <w:r w:rsidRPr="00D656D6">
              <w:rPr>
                <w:sz w:val="22"/>
                <w:lang w:val="lv-LV"/>
              </w:rPr>
              <w:t xml:space="preserve">Ir ievēroti attiecināmo izmaksu </w:t>
            </w:r>
            <w:proofErr w:type="spellStart"/>
            <w:r w:rsidRPr="00D656D6">
              <w:rPr>
                <w:sz w:val="22"/>
                <w:lang w:val="lv-LV"/>
              </w:rPr>
              <w:t>kumulēšanas</w:t>
            </w:r>
            <w:proofErr w:type="spellEnd"/>
            <w:r w:rsidRPr="00D656D6">
              <w:rPr>
                <w:sz w:val="22"/>
                <w:lang w:val="lv-LV"/>
              </w:rPr>
              <w:t xml:space="preserve"> nosacījumi</w:t>
            </w:r>
          </w:p>
        </w:tc>
        <w:tc>
          <w:tcPr>
            <w:tcW w:w="6699" w:type="dxa"/>
          </w:tcPr>
          <w:p w14:paraId="3F2326CB" w14:textId="77777777" w:rsidR="00791FDF" w:rsidRPr="00D656D6" w:rsidRDefault="00791FDF" w:rsidP="004A3D64">
            <w:pPr>
              <w:widowControl/>
              <w:contextualSpacing/>
              <w:jc w:val="both"/>
              <w:rPr>
                <w:sz w:val="22"/>
                <w:lang w:val="lv-LV"/>
              </w:rPr>
            </w:pPr>
            <w:r w:rsidRPr="00D656D6">
              <w:rPr>
                <w:sz w:val="22"/>
                <w:lang w:val="lv-LV"/>
              </w:rPr>
              <w:t>Pārbauda, vai MP ir sniegta informācija par atbalsta saņēmēja īstenotajiem projektiem, kuros saņemtais valsts vai cita veida atbalsts tiek kumulēts ar šī MP ietvaros pieprasīto finansējumu, kā arī norādīta citu valsts atbalsta programmu vai individuālo atbalsta programmu ietvaros saņemtais finansējums, kas tiek apvienots ar šī MP noteiktajām attiecināmajām izmaksām.</w:t>
            </w:r>
          </w:p>
          <w:p w14:paraId="429404E6" w14:textId="77777777" w:rsidR="00791FDF" w:rsidRPr="00D656D6" w:rsidRDefault="00791FDF" w:rsidP="004A3D64">
            <w:pPr>
              <w:widowControl/>
              <w:contextualSpacing/>
              <w:jc w:val="both"/>
              <w:rPr>
                <w:sz w:val="22"/>
                <w:lang w:val="lv-LV"/>
              </w:rPr>
            </w:pPr>
            <w:r w:rsidRPr="00D656D6">
              <w:rPr>
                <w:sz w:val="22"/>
                <w:lang w:val="lv-LV"/>
              </w:rPr>
              <w:t xml:space="preserve">Komersants, ievērojot Komisijas regulas Nr. 1407/2013 5. panta 1. un 2. punktu, </w:t>
            </w:r>
            <w:r w:rsidRPr="00D656D6">
              <w:rPr>
                <w:i/>
                <w:iCs/>
                <w:sz w:val="22"/>
                <w:lang w:val="lv-LV"/>
              </w:rPr>
              <w:t>de minimis</w:t>
            </w:r>
            <w:r w:rsidRPr="00D656D6">
              <w:rPr>
                <w:sz w:val="22"/>
                <w:lang w:val="lv-LV"/>
              </w:rPr>
              <w:t xml:space="preserve"> atbalstu drīkst </w:t>
            </w:r>
            <w:proofErr w:type="spellStart"/>
            <w:r w:rsidRPr="00D656D6">
              <w:rPr>
                <w:sz w:val="22"/>
                <w:lang w:val="lv-LV"/>
              </w:rPr>
              <w:t>kumulēt</w:t>
            </w:r>
            <w:proofErr w:type="spellEnd"/>
            <w:r w:rsidRPr="00D656D6">
              <w:rPr>
                <w:sz w:val="22"/>
                <w:lang w:val="lv-LV"/>
              </w:rPr>
              <w:t xml:space="preserve"> ar citu </w:t>
            </w:r>
            <w:r w:rsidRPr="00D656D6">
              <w:rPr>
                <w:i/>
                <w:iCs/>
                <w:sz w:val="22"/>
                <w:lang w:val="lv-LV"/>
              </w:rPr>
              <w:t>de minimis</w:t>
            </w:r>
            <w:r w:rsidRPr="00D656D6">
              <w:rPr>
                <w:sz w:val="22"/>
                <w:lang w:val="lv-LV"/>
              </w:rPr>
              <w:t xml:space="preserve"> atbalstu līdz Komisijas regulas Nr. 1407/2013 3. panta 2. punktā noteiktajam attiecīgajam robežlielumam, kā arī drīkst </w:t>
            </w:r>
            <w:proofErr w:type="spellStart"/>
            <w:r w:rsidRPr="00D656D6">
              <w:rPr>
                <w:sz w:val="22"/>
                <w:lang w:val="lv-LV"/>
              </w:rPr>
              <w:t>kumulēt</w:t>
            </w:r>
            <w:proofErr w:type="spellEnd"/>
            <w:r w:rsidRPr="00D656D6">
              <w:rPr>
                <w:sz w:val="22"/>
                <w:lang w:val="lv-LV"/>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vai Eiropas Komisijas lēmumā.</w:t>
            </w:r>
          </w:p>
          <w:p w14:paraId="438CCC83" w14:textId="77777777" w:rsidR="00791FDF" w:rsidRPr="00D656D6" w:rsidRDefault="00791FDF" w:rsidP="004A3D64">
            <w:pPr>
              <w:widowControl/>
              <w:spacing w:after="0" w:line="240" w:lineRule="auto"/>
              <w:jc w:val="both"/>
              <w:rPr>
                <w:sz w:val="22"/>
                <w:szCs w:val="24"/>
                <w:lang w:val="lv-LV" w:eastAsia="lv-LV"/>
              </w:rPr>
            </w:pPr>
            <w:r w:rsidRPr="00D656D6">
              <w:rPr>
                <w:sz w:val="22"/>
                <w:lang w:val="lv-LV"/>
              </w:rPr>
              <w:t xml:space="preserve">Komersants, kas saņem atbalstu saskaņā ar Komisijas regulas Nr.651/2014 31.pantu, var </w:t>
            </w:r>
            <w:r w:rsidRPr="00D656D6">
              <w:rPr>
                <w:rFonts w:eastAsia="Times New Roman"/>
                <w:color w:val="000000"/>
                <w:sz w:val="22"/>
                <w:lang w:val="lv-LV" w:eastAsia="lv-LV"/>
              </w:rPr>
              <w:t xml:space="preserve"> apvienot to ar citā valsts atbalsta programmā vai individuālā atbalsta projektā sniegto atbalstu vienām un tām pašām attiecināmajām izmaksām, tai skaitā ar citā valsts atbalsta programmā vai individuālā atbalsta projektā sniegto </w:t>
            </w:r>
            <w:r w:rsidRPr="00D656D6">
              <w:rPr>
                <w:rFonts w:eastAsia="Times New Roman"/>
                <w:i/>
                <w:iCs/>
                <w:color w:val="000000"/>
                <w:sz w:val="22"/>
                <w:lang w:val="lv-LV" w:eastAsia="lv-LV"/>
              </w:rPr>
              <w:t>de minimis</w:t>
            </w:r>
            <w:r w:rsidRPr="00D656D6">
              <w:rPr>
                <w:rFonts w:eastAsia="Times New Roman"/>
                <w:color w:val="000000"/>
                <w:sz w:val="22"/>
                <w:lang w:val="lv-LV" w:eastAsia="lv-LV"/>
              </w:rPr>
              <w:t xml:space="preserve">  atbalstu, </w:t>
            </w:r>
            <w:r w:rsidRPr="00D656D6">
              <w:rPr>
                <w:color w:val="414142"/>
                <w:sz w:val="22"/>
                <w:szCs w:val="24"/>
                <w:shd w:val="clear" w:color="auto" w:fill="FFFFFF"/>
                <w:lang w:val="lv-LV"/>
              </w:rPr>
              <w:t xml:space="preserve">nepārsniedzot maksimāli pieļaujamo atbalsta finansējuma intensitāti saskaņā ar </w:t>
            </w:r>
            <w:r w:rsidRPr="00D656D6">
              <w:rPr>
                <w:rFonts w:eastAsia="Times New Roman"/>
                <w:color w:val="000000"/>
                <w:sz w:val="22"/>
                <w:szCs w:val="24"/>
                <w:lang w:val="lv-LV" w:eastAsia="lv-LV"/>
              </w:rPr>
              <w:t>Komisijas regulas Nr. 651/</w:t>
            </w:r>
            <w:r w:rsidRPr="00D656D6">
              <w:rPr>
                <w:rFonts w:eastAsia="Times New Roman"/>
                <w:color w:val="000000"/>
                <w:sz w:val="22"/>
                <w:lang w:val="lv-LV" w:eastAsia="lv-LV"/>
              </w:rPr>
              <w:t xml:space="preserve">2014 31. panta 4. punktu.  </w:t>
            </w:r>
            <w:r w:rsidRPr="00D656D6">
              <w:rPr>
                <w:sz w:val="22"/>
                <w:szCs w:val="24"/>
                <w:lang w:val="lv-LV" w:eastAsia="lv-LV"/>
              </w:rPr>
              <w:t xml:space="preserve"> </w:t>
            </w:r>
          </w:p>
          <w:p w14:paraId="0B8E9915" w14:textId="77777777" w:rsidR="00791FDF" w:rsidRPr="00D656D6" w:rsidRDefault="00791FDF" w:rsidP="004A3D64">
            <w:pPr>
              <w:widowControl/>
              <w:spacing w:after="0" w:line="240" w:lineRule="auto"/>
              <w:jc w:val="both"/>
              <w:rPr>
                <w:rFonts w:eastAsia="ヒラギノ角ゴ Pro W3"/>
                <w:sz w:val="22"/>
                <w:lang w:val="lv-LV"/>
              </w:rPr>
            </w:pPr>
          </w:p>
        </w:tc>
        <w:tc>
          <w:tcPr>
            <w:tcW w:w="3549" w:type="dxa"/>
          </w:tcPr>
          <w:p w14:paraId="789365C9" w14:textId="77777777" w:rsidR="00791FDF" w:rsidRPr="00D656D6" w:rsidRDefault="00791FDF" w:rsidP="004A3D64">
            <w:pPr>
              <w:widowControl/>
              <w:spacing w:after="0" w:line="240" w:lineRule="auto"/>
              <w:jc w:val="both"/>
              <w:rPr>
                <w:rFonts w:eastAsia="Times New Roman"/>
                <w:color w:val="000000"/>
                <w:sz w:val="22"/>
                <w:lang w:val="lv-LV"/>
              </w:rPr>
            </w:pPr>
            <w:r w:rsidRPr="00D656D6">
              <w:rPr>
                <w:rFonts w:eastAsia="Times New Roman"/>
                <w:color w:val="000000"/>
                <w:sz w:val="22"/>
                <w:lang w:val="lv-LV"/>
              </w:rPr>
              <w:t>MP 4.sadaļa</w:t>
            </w:r>
          </w:p>
        </w:tc>
      </w:tr>
      <w:tr w:rsidR="00791FDF" w:rsidRPr="00D656D6" w14:paraId="2F46FB62" w14:textId="77777777" w:rsidTr="004A3D64">
        <w:trPr>
          <w:trHeight w:val="530"/>
        </w:trPr>
        <w:tc>
          <w:tcPr>
            <w:tcW w:w="720" w:type="dxa"/>
            <w:vAlign w:val="center"/>
          </w:tcPr>
          <w:p w14:paraId="367D0549" w14:textId="77777777" w:rsidR="00791FDF" w:rsidRPr="00D656D6" w:rsidRDefault="00791FDF" w:rsidP="004A3D64">
            <w:pPr>
              <w:widowControl/>
              <w:spacing w:after="0" w:line="240" w:lineRule="auto"/>
              <w:jc w:val="center"/>
              <w:rPr>
                <w:rFonts w:eastAsia="Times New Roman"/>
                <w:color w:val="000000"/>
                <w:sz w:val="22"/>
                <w:lang w:val="lv-LV" w:eastAsia="lv-LV"/>
              </w:rPr>
            </w:pPr>
            <w:r w:rsidRPr="00D656D6">
              <w:rPr>
                <w:rFonts w:eastAsia="Times New Roman"/>
                <w:color w:val="000000"/>
                <w:sz w:val="22"/>
                <w:lang w:val="lv-LV" w:eastAsia="lv-LV"/>
              </w:rPr>
              <w:t>8.</w:t>
            </w:r>
          </w:p>
        </w:tc>
        <w:tc>
          <w:tcPr>
            <w:tcW w:w="3780" w:type="dxa"/>
          </w:tcPr>
          <w:p w14:paraId="7540937D" w14:textId="77777777" w:rsidR="00791FDF" w:rsidRPr="00D656D6" w:rsidRDefault="00791FDF" w:rsidP="004A3D64">
            <w:pPr>
              <w:widowControl/>
              <w:spacing w:after="0" w:line="240" w:lineRule="auto"/>
              <w:jc w:val="both"/>
              <w:rPr>
                <w:rFonts w:eastAsia="Times New Roman"/>
                <w:sz w:val="22"/>
                <w:lang w:val="lv-LV" w:eastAsia="lv-LV"/>
              </w:rPr>
            </w:pPr>
            <w:r w:rsidRPr="00D656D6">
              <w:rPr>
                <w:rFonts w:eastAsia="Times New Roman"/>
                <w:sz w:val="22"/>
                <w:lang w:val="lv-LV" w:eastAsia="lv-LV"/>
              </w:rPr>
              <w:t xml:space="preserve">Ja atbalsta saņēmējs darbojas vienā vai vairākās neatbalstāmajās nozarēs un veic neatbalstāmās darbības vai citas darbības, kas ietilpst Eiropas Komisijas 2013. gada 18. decembra Regulas (ES) Nr. 1407/2013 par Līguma par Eiropas Savienības darbību 107. un 108. panta </w:t>
            </w:r>
            <w:r w:rsidRPr="00D656D6">
              <w:rPr>
                <w:rFonts w:eastAsia="Times New Roman"/>
                <w:sz w:val="22"/>
                <w:lang w:val="lv-LV" w:eastAsia="lv-LV"/>
              </w:rPr>
              <w:lastRenderedPageBreak/>
              <w:t xml:space="preserve">piemērošanu </w:t>
            </w:r>
            <w:r w:rsidRPr="00D656D6">
              <w:rPr>
                <w:rFonts w:eastAsia="Times New Roman"/>
                <w:i/>
                <w:sz w:val="22"/>
                <w:lang w:val="lv-LV" w:eastAsia="lv-LV"/>
              </w:rPr>
              <w:t>de minimis</w:t>
            </w:r>
            <w:r w:rsidRPr="00D656D6">
              <w:rPr>
                <w:rFonts w:eastAsia="Times New Roman"/>
                <w:sz w:val="22"/>
                <w:lang w:val="lv-LV" w:eastAsia="lv-LV"/>
              </w:rPr>
              <w:t xml:space="preserve"> atbalstam (Eiropas Savienības Oficiālais Vēstnesis, 2013. gada 24. decembris, Nr. L 352/1) (turpmāk – Regula Nr. 1407/2013) vai Regulas Nr. </w:t>
            </w:r>
            <w:hyperlink r:id="rId8" w:tgtFrame="_blank" w:history="1">
              <w:r w:rsidRPr="00D656D6">
                <w:rPr>
                  <w:rFonts w:eastAsia="Times New Roman"/>
                  <w:sz w:val="22"/>
                  <w:lang w:val="lv-LV" w:eastAsia="lv-LV"/>
                </w:rPr>
                <w:t>651/2014</w:t>
              </w:r>
            </w:hyperlink>
            <w:r w:rsidRPr="00D656D6">
              <w:rPr>
                <w:rFonts w:eastAsia="Times New Roman"/>
                <w:sz w:val="22"/>
                <w:lang w:val="lv-LV" w:eastAsia="lv-LV"/>
              </w:rPr>
              <w:t xml:space="preserve"> darbības jomā, </w:t>
            </w:r>
            <w:r w:rsidRPr="00D656D6">
              <w:rPr>
                <w:rFonts w:eastAsia="Times New Roman"/>
                <w:i/>
                <w:sz w:val="22"/>
                <w:lang w:val="lv-LV" w:eastAsia="lv-LV"/>
              </w:rPr>
              <w:t xml:space="preserve">de minimis </w:t>
            </w:r>
            <w:r w:rsidRPr="00D656D6">
              <w:rPr>
                <w:rFonts w:eastAsia="Times New Roman"/>
                <w:sz w:val="22"/>
                <w:lang w:val="lv-LV" w:eastAsia="lv-LV"/>
              </w:rPr>
              <w:t>atbalsta saņēmējs nodrošina šo nozaru darbību vai izmaksu nodalīšanu.</w:t>
            </w:r>
          </w:p>
        </w:tc>
        <w:tc>
          <w:tcPr>
            <w:tcW w:w="6699" w:type="dxa"/>
          </w:tcPr>
          <w:p w14:paraId="496717AC" w14:textId="77777777" w:rsidR="00791FDF" w:rsidRPr="00D656D6" w:rsidRDefault="00791FDF" w:rsidP="004A3D64">
            <w:pPr>
              <w:widowControl/>
              <w:spacing w:after="0" w:line="293" w:lineRule="atLeast"/>
              <w:ind w:firstLine="300"/>
              <w:jc w:val="both"/>
              <w:rPr>
                <w:rFonts w:eastAsia="Times New Roman"/>
                <w:sz w:val="22"/>
                <w:lang w:val="lv-LV" w:eastAsia="lv-LV"/>
              </w:rPr>
            </w:pPr>
            <w:r w:rsidRPr="00D656D6">
              <w:rPr>
                <w:rFonts w:eastAsia="ヒラギノ角ゴ Pro W3"/>
                <w:sz w:val="22"/>
                <w:lang w:val="lv-LV"/>
              </w:rPr>
              <w:lastRenderedPageBreak/>
              <w:t>Pārbauda, vai MP sniegts apliecinājums, ka, ja atbalsta saņēmējs darbojas vienā vai vairākās neatbalstāmajās nozarēs un veic neatbalstāmās darbības vai citas darbības saskaņā ar:</w:t>
            </w:r>
          </w:p>
          <w:p w14:paraId="130405AB" w14:textId="77777777" w:rsidR="00791FDF" w:rsidRPr="00D656D6" w:rsidRDefault="00791FDF" w:rsidP="004A3D64">
            <w:pPr>
              <w:widowControl/>
              <w:spacing w:after="0" w:line="240" w:lineRule="auto"/>
              <w:jc w:val="both"/>
              <w:rPr>
                <w:rFonts w:eastAsia="Times New Roman"/>
                <w:sz w:val="22"/>
                <w:lang w:val="lv-LV" w:eastAsia="lv-LV"/>
              </w:rPr>
            </w:pPr>
            <w:r w:rsidRPr="00D656D6">
              <w:rPr>
                <w:rFonts w:eastAsia="Times New Roman"/>
                <w:sz w:val="22"/>
                <w:lang w:val="lv-LV" w:eastAsia="lv-LV"/>
              </w:rPr>
              <w:t xml:space="preserve"> - Regulas Nr. </w:t>
            </w:r>
            <w:hyperlink r:id="rId9" w:tgtFrame="_blank" w:history="1">
              <w:r w:rsidRPr="00D656D6">
                <w:rPr>
                  <w:rFonts w:eastAsia="Times New Roman"/>
                  <w:sz w:val="22"/>
                  <w:lang w:val="lv-LV" w:eastAsia="lv-LV"/>
                </w:rPr>
                <w:t>1407/2013</w:t>
              </w:r>
            </w:hyperlink>
            <w:r w:rsidRPr="00D656D6">
              <w:rPr>
                <w:rFonts w:eastAsia="Times New Roman"/>
                <w:sz w:val="22"/>
                <w:lang w:val="lv-LV" w:eastAsia="lv-LV"/>
              </w:rPr>
              <w:t xml:space="preserve"> 1. panta 1. punktā noteiktajām nozarēm un darbībām;</w:t>
            </w:r>
          </w:p>
          <w:p w14:paraId="1C5A1EFB" w14:textId="77777777" w:rsidR="00791FDF" w:rsidRPr="00D656D6" w:rsidRDefault="00791FDF" w:rsidP="004A3D64">
            <w:pPr>
              <w:widowControl/>
              <w:spacing w:after="0" w:line="240" w:lineRule="auto"/>
              <w:jc w:val="both"/>
              <w:rPr>
                <w:rFonts w:eastAsia="Times New Roman"/>
                <w:sz w:val="22"/>
                <w:lang w:val="lv-LV" w:eastAsia="lv-LV"/>
              </w:rPr>
            </w:pPr>
            <w:r w:rsidRPr="00D656D6">
              <w:rPr>
                <w:rFonts w:eastAsia="Times New Roman"/>
                <w:sz w:val="22"/>
                <w:lang w:val="lv-LV" w:eastAsia="lv-LV"/>
              </w:rPr>
              <w:t xml:space="preserve"> - Regulas Nr. </w:t>
            </w:r>
            <w:hyperlink r:id="rId10" w:tgtFrame="_blank" w:history="1">
              <w:r w:rsidRPr="00D656D6">
                <w:rPr>
                  <w:rFonts w:eastAsia="Times New Roman"/>
                  <w:sz w:val="22"/>
                  <w:lang w:val="lv-LV" w:eastAsia="lv-LV"/>
                </w:rPr>
                <w:t>651/2014</w:t>
              </w:r>
            </w:hyperlink>
            <w:r w:rsidRPr="00D656D6">
              <w:rPr>
                <w:rFonts w:eastAsia="Times New Roman"/>
                <w:sz w:val="22"/>
                <w:lang w:val="lv-LV" w:eastAsia="lv-LV"/>
              </w:rPr>
              <w:t> 1. panta 3. punktā noteiktajām nozarēm.</w:t>
            </w:r>
          </w:p>
          <w:p w14:paraId="48633CF4" w14:textId="77777777" w:rsidR="00791FDF" w:rsidRPr="00D656D6" w:rsidRDefault="00791FDF" w:rsidP="004A3D64">
            <w:pPr>
              <w:widowControl/>
              <w:spacing w:after="0" w:line="240" w:lineRule="auto"/>
              <w:jc w:val="both"/>
              <w:rPr>
                <w:rFonts w:eastAsia="Times New Roman"/>
                <w:sz w:val="22"/>
                <w:lang w:val="lv-LV" w:eastAsia="lv-LV"/>
              </w:rPr>
            </w:pPr>
            <w:r w:rsidRPr="00D656D6">
              <w:rPr>
                <w:rFonts w:eastAsia="ヒラギノ角ゴ Pro W3"/>
                <w:sz w:val="22"/>
                <w:lang w:val="lv-LV"/>
              </w:rPr>
              <w:lastRenderedPageBreak/>
              <w:t>tiek nodrošināta nozaru darbību un izmaksu nodalīšanu saskaņā ar Regulas Nr.</w:t>
            </w:r>
            <w:hyperlink r:id="rId11" w:tgtFrame="_blank" w:history="1">
              <w:r w:rsidRPr="00D656D6">
                <w:rPr>
                  <w:rFonts w:eastAsia="ヒラギノ角ゴ Pro W3"/>
                  <w:sz w:val="22"/>
                  <w:lang w:val="lv-LV"/>
                </w:rPr>
                <w:t>1407/2013</w:t>
              </w:r>
            </w:hyperlink>
            <w:r w:rsidRPr="00D656D6">
              <w:rPr>
                <w:rFonts w:eastAsia="ヒラギノ角ゴ Pro W3"/>
                <w:sz w:val="22"/>
                <w:lang w:val="lv-LV"/>
              </w:rPr>
              <w:t xml:space="preserve"> 1. panta 2. punktu, regulas Nr. </w:t>
            </w:r>
            <w:hyperlink r:id="rId12" w:tgtFrame="_blank" w:history="1">
              <w:r w:rsidRPr="00D656D6">
                <w:rPr>
                  <w:rFonts w:eastAsia="ヒラギノ角ゴ Pro W3"/>
                  <w:sz w:val="22"/>
                  <w:lang w:val="lv-LV"/>
                </w:rPr>
                <w:t>1408/2013</w:t>
              </w:r>
            </w:hyperlink>
            <w:r w:rsidRPr="00D656D6">
              <w:rPr>
                <w:rFonts w:eastAsia="ヒラギノ角ゴ Pro W3"/>
                <w:sz w:val="22"/>
                <w:lang w:val="lv-LV"/>
              </w:rPr>
              <w:t xml:space="preserve"> 1. panta 2. un 3. punktu vai regulas Nr.</w:t>
            </w:r>
            <w:hyperlink r:id="rId13" w:tgtFrame="_blank" w:history="1">
              <w:r w:rsidRPr="00D656D6">
                <w:rPr>
                  <w:rFonts w:eastAsia="ヒラギノ角ゴ Pro W3"/>
                  <w:sz w:val="22"/>
                  <w:lang w:val="lv-LV"/>
                </w:rPr>
                <w:t>717/2014</w:t>
              </w:r>
            </w:hyperlink>
            <w:r w:rsidRPr="00D656D6">
              <w:rPr>
                <w:rFonts w:eastAsia="ヒラギノ角ゴ Pro W3"/>
                <w:sz w:val="22"/>
                <w:lang w:val="lv-LV"/>
              </w:rPr>
              <w:t xml:space="preserve"> 1. panta 2. un 3. punktu.</w:t>
            </w:r>
          </w:p>
        </w:tc>
        <w:tc>
          <w:tcPr>
            <w:tcW w:w="3549" w:type="dxa"/>
          </w:tcPr>
          <w:p w14:paraId="22263835" w14:textId="77777777" w:rsidR="00791FDF" w:rsidRPr="00D656D6" w:rsidRDefault="00791FDF" w:rsidP="004A3D64">
            <w:pPr>
              <w:widowControl/>
              <w:spacing w:after="0" w:line="240" w:lineRule="auto"/>
              <w:jc w:val="both"/>
              <w:rPr>
                <w:rFonts w:eastAsia="Times New Roman"/>
                <w:color w:val="000000"/>
                <w:sz w:val="22"/>
                <w:lang w:val="lv-LV"/>
              </w:rPr>
            </w:pPr>
            <w:r w:rsidRPr="00D656D6">
              <w:rPr>
                <w:rFonts w:eastAsia="Times New Roman"/>
                <w:color w:val="000000"/>
                <w:sz w:val="22"/>
                <w:lang w:val="lv-LV"/>
              </w:rPr>
              <w:lastRenderedPageBreak/>
              <w:t>MP 6.sadaļa</w:t>
            </w:r>
          </w:p>
        </w:tc>
      </w:tr>
      <w:tr w:rsidR="00791FDF" w:rsidRPr="00D656D6" w14:paraId="205E82A1" w14:textId="77777777" w:rsidTr="004A3D64">
        <w:trPr>
          <w:trHeight w:val="530"/>
        </w:trPr>
        <w:tc>
          <w:tcPr>
            <w:tcW w:w="720" w:type="dxa"/>
            <w:vAlign w:val="center"/>
          </w:tcPr>
          <w:p w14:paraId="5126A5EF" w14:textId="77777777" w:rsidR="00791FDF" w:rsidRPr="00D656D6" w:rsidRDefault="00791FDF" w:rsidP="004A3D64">
            <w:pPr>
              <w:widowControl/>
              <w:spacing w:after="0" w:line="240" w:lineRule="auto"/>
              <w:jc w:val="center"/>
              <w:rPr>
                <w:rFonts w:eastAsia="Times New Roman"/>
                <w:color w:val="000000"/>
                <w:sz w:val="22"/>
                <w:lang w:val="lv-LV" w:eastAsia="lv-LV"/>
              </w:rPr>
            </w:pPr>
            <w:r w:rsidRPr="00D656D6">
              <w:rPr>
                <w:rFonts w:eastAsia="Times New Roman"/>
                <w:color w:val="000000"/>
                <w:sz w:val="22"/>
                <w:lang w:val="lv-LV" w:eastAsia="lv-LV"/>
              </w:rPr>
              <w:t>9.</w:t>
            </w:r>
          </w:p>
        </w:tc>
        <w:tc>
          <w:tcPr>
            <w:tcW w:w="3780" w:type="dxa"/>
          </w:tcPr>
          <w:p w14:paraId="52B898AA" w14:textId="77777777" w:rsidR="00791FDF" w:rsidRPr="00D656D6" w:rsidRDefault="00791FDF" w:rsidP="004A3D64">
            <w:pPr>
              <w:widowControl/>
              <w:spacing w:after="0" w:line="240" w:lineRule="auto"/>
              <w:jc w:val="both"/>
              <w:rPr>
                <w:rFonts w:eastAsia="Times New Roman"/>
                <w:color w:val="000000"/>
                <w:sz w:val="22"/>
                <w:lang w:val="lv-LV" w:eastAsia="lv-LV"/>
              </w:rPr>
            </w:pPr>
            <w:r w:rsidRPr="00D656D6">
              <w:rPr>
                <w:rFonts w:eastAsia="Times New Roman"/>
                <w:color w:val="000000"/>
                <w:sz w:val="22"/>
                <w:lang w:val="lv-LV" w:eastAsia="lv-LV"/>
              </w:rPr>
              <w:t>Atbalstāmo darbību īstenošanai tiek izmantots atbalsta saņēmēja norēķinu konts bankā vai Valsts kasē.</w:t>
            </w:r>
          </w:p>
        </w:tc>
        <w:tc>
          <w:tcPr>
            <w:tcW w:w="6699" w:type="dxa"/>
          </w:tcPr>
          <w:p w14:paraId="0EC59F9B" w14:textId="77777777" w:rsidR="00791FDF" w:rsidRPr="00D656D6" w:rsidRDefault="00791FDF" w:rsidP="004A3D64">
            <w:pPr>
              <w:widowControl/>
              <w:autoSpaceDE w:val="0"/>
              <w:autoSpaceDN w:val="0"/>
              <w:adjustRightInd w:val="0"/>
              <w:spacing w:after="0" w:line="240" w:lineRule="auto"/>
              <w:jc w:val="both"/>
              <w:rPr>
                <w:color w:val="000000"/>
                <w:sz w:val="22"/>
                <w:lang w:val="lv-LV"/>
              </w:rPr>
            </w:pPr>
            <w:r w:rsidRPr="00D656D6">
              <w:rPr>
                <w:color w:val="000000"/>
                <w:sz w:val="22"/>
                <w:lang w:val="lv-LV"/>
              </w:rPr>
              <w:t>Pārbauda, vai visi maksājumi, kas saistīti ar atbalstāmajām darbībām, ir veikti bezskaidras naudas norēķinu veidā.</w:t>
            </w:r>
          </w:p>
          <w:p w14:paraId="4E88BBB9" w14:textId="77777777" w:rsidR="00791FDF" w:rsidRPr="00D656D6" w:rsidRDefault="00791FDF" w:rsidP="004A3D64">
            <w:pPr>
              <w:widowControl/>
              <w:autoSpaceDE w:val="0"/>
              <w:autoSpaceDN w:val="0"/>
              <w:adjustRightInd w:val="0"/>
              <w:spacing w:after="0" w:line="240" w:lineRule="auto"/>
              <w:jc w:val="both"/>
              <w:rPr>
                <w:color w:val="000000"/>
                <w:sz w:val="22"/>
                <w:lang w:val="lv-LV"/>
              </w:rPr>
            </w:pPr>
            <w:r w:rsidRPr="00D656D6">
              <w:rPr>
                <w:color w:val="000000"/>
                <w:sz w:val="22"/>
                <w:lang w:val="lv-LV"/>
              </w:rPr>
              <w:t>Ja atbalsta saņēmējs atbalstāmo darbību ietvaros veic izdevumus ārvalstu valūtā un darījuma veikšanai piemēro komercbankas noteikto valūtas maiņas kursu, tad m</w:t>
            </w:r>
            <w:r w:rsidRPr="00D656D6">
              <w:rPr>
                <w:bCs/>
                <w:color w:val="000000"/>
                <w:sz w:val="22"/>
                <w:lang w:val="lv-LV"/>
              </w:rPr>
              <w:t>aksājuma pieprasījumā jāiekļauj summa</w:t>
            </w:r>
            <w:r w:rsidRPr="00D656D6">
              <w:rPr>
                <w:color w:val="000000"/>
                <w:sz w:val="22"/>
                <w:lang w:val="lv-LV"/>
              </w:rPr>
              <w:t xml:space="preserve">, kas pārrēķināta </w:t>
            </w:r>
            <w:r w:rsidRPr="00D656D6">
              <w:rPr>
                <w:i/>
                <w:color w:val="000000"/>
                <w:sz w:val="22"/>
                <w:lang w:val="lv-LV"/>
              </w:rPr>
              <w:t>euro</w:t>
            </w:r>
            <w:r w:rsidRPr="00D656D6">
              <w:rPr>
                <w:color w:val="000000"/>
                <w:sz w:val="22"/>
                <w:lang w:val="lv-LV"/>
              </w:rPr>
              <w:t xml:space="preserve">, </w:t>
            </w:r>
            <w:r w:rsidRPr="00D656D6">
              <w:rPr>
                <w:bCs/>
                <w:color w:val="000000"/>
                <w:sz w:val="22"/>
                <w:lang w:val="lv-LV"/>
              </w:rPr>
              <w:t xml:space="preserve">piemērojot Eiropas Centrālās Bankas (turpmāk – ECB) noteikto valūtas kursu </w:t>
            </w:r>
            <w:r w:rsidRPr="00D656D6">
              <w:rPr>
                <w:color w:val="000000"/>
                <w:sz w:val="22"/>
                <w:lang w:val="lv-LV"/>
              </w:rPr>
              <w:t>maksājuma veikšanas dienā (vai avansa norēķina sagatavošanas dienā).</w:t>
            </w:r>
          </w:p>
          <w:p w14:paraId="6E968DCF" w14:textId="77777777" w:rsidR="00791FDF" w:rsidRPr="00D656D6" w:rsidRDefault="00791FDF" w:rsidP="004A3D64">
            <w:pPr>
              <w:widowControl/>
              <w:autoSpaceDE w:val="0"/>
              <w:autoSpaceDN w:val="0"/>
              <w:adjustRightInd w:val="0"/>
              <w:spacing w:after="0" w:line="240" w:lineRule="auto"/>
              <w:jc w:val="both"/>
              <w:rPr>
                <w:color w:val="000000"/>
                <w:sz w:val="22"/>
                <w:lang w:val="lv-LV"/>
              </w:rPr>
            </w:pPr>
            <w:r w:rsidRPr="00D656D6">
              <w:rPr>
                <w:color w:val="000000"/>
                <w:sz w:val="22"/>
                <w:lang w:val="lv-LV"/>
              </w:rPr>
              <w:t xml:space="preserve">Ja maksājuma veikšanas dienā ECB noteiktais valūtas kurss ir lielāks par darījuma dienā noteikto komercbankas valūtas maiņas kursu, maksājuma pieprasījumā iekļauj summu, kas pārrēķināta </w:t>
            </w:r>
            <w:r w:rsidRPr="00D656D6">
              <w:rPr>
                <w:i/>
                <w:iCs/>
                <w:color w:val="000000"/>
                <w:sz w:val="22"/>
                <w:lang w:val="lv-LV"/>
              </w:rPr>
              <w:t>euro</w:t>
            </w:r>
            <w:r w:rsidRPr="00D656D6">
              <w:rPr>
                <w:color w:val="000000"/>
                <w:sz w:val="22"/>
                <w:lang w:val="lv-LV"/>
              </w:rPr>
              <w:t xml:space="preserve"> , piemērojot komercbankas noteikto valūtas maiņas kursu maksājuma veikšanas dienā.</w:t>
            </w:r>
          </w:p>
          <w:p w14:paraId="20CB23BB" w14:textId="77777777" w:rsidR="00791FDF" w:rsidRPr="00D656D6" w:rsidRDefault="00791FDF" w:rsidP="004A3D64">
            <w:pPr>
              <w:widowControl/>
              <w:autoSpaceDE w:val="0"/>
              <w:autoSpaceDN w:val="0"/>
              <w:adjustRightInd w:val="0"/>
              <w:spacing w:after="0" w:line="240" w:lineRule="auto"/>
              <w:jc w:val="both"/>
              <w:rPr>
                <w:rFonts w:eastAsia="Times New Roman"/>
                <w:color w:val="000000"/>
                <w:sz w:val="22"/>
                <w:lang w:val="lv-LV"/>
              </w:rPr>
            </w:pPr>
            <w:r w:rsidRPr="00D656D6">
              <w:rPr>
                <w:rFonts w:eastAsia="Times New Roman"/>
                <w:color w:val="000000"/>
                <w:sz w:val="22"/>
                <w:lang w:val="lv-LV"/>
              </w:rPr>
              <w:t>Ja maksājuma pieprasījumā kā maksājuma veikšanas konts ir norādīts bankas konts, kas nav atbalstāmo darbību īstenošanai izmantotais norēķinu konts, un pēc iesniegtajiem dokumentiem nevar gūt pārliecību, ka šis konts pieder atbalsta saņēmējam, tad lūdz atbalsta saņēmēju iesniegt bankas izziņu par</w:t>
            </w:r>
            <w:r w:rsidRPr="00D656D6">
              <w:rPr>
                <w:rFonts w:eastAsia="Times New Roman"/>
                <w:b/>
                <w:bCs/>
                <w:color w:val="000000"/>
                <w:sz w:val="22"/>
                <w:lang w:val="lv-LV"/>
              </w:rPr>
              <w:t xml:space="preserve"> </w:t>
            </w:r>
            <w:r w:rsidRPr="00D656D6">
              <w:rPr>
                <w:rFonts w:eastAsia="Times New Roman"/>
                <w:color w:val="000000"/>
                <w:sz w:val="22"/>
                <w:lang w:val="lv-LV"/>
              </w:rPr>
              <w:t xml:space="preserve"> norādītā konta atvēršanu.</w:t>
            </w:r>
          </w:p>
        </w:tc>
        <w:tc>
          <w:tcPr>
            <w:tcW w:w="3549" w:type="dxa"/>
          </w:tcPr>
          <w:p w14:paraId="2C267535" w14:textId="77777777" w:rsidR="00791FDF" w:rsidRPr="00D656D6" w:rsidRDefault="00791FDF" w:rsidP="00791FDF">
            <w:pPr>
              <w:widowControl/>
              <w:numPr>
                <w:ilvl w:val="0"/>
                <w:numId w:val="4"/>
              </w:numPr>
              <w:spacing w:after="0" w:line="240" w:lineRule="auto"/>
              <w:ind w:left="317" w:hanging="317"/>
              <w:jc w:val="both"/>
              <w:rPr>
                <w:rFonts w:eastAsia="Times New Roman"/>
                <w:color w:val="000000"/>
                <w:sz w:val="22"/>
                <w:lang w:val="x-none"/>
              </w:rPr>
            </w:pPr>
            <w:r w:rsidRPr="00D656D6">
              <w:rPr>
                <w:rFonts w:eastAsia="Times New Roman"/>
                <w:color w:val="000000"/>
                <w:sz w:val="22"/>
                <w:lang w:val="lv-LV"/>
              </w:rPr>
              <w:t>MP</w:t>
            </w:r>
            <w:r w:rsidRPr="00D656D6">
              <w:rPr>
                <w:rFonts w:eastAsia="Times New Roman"/>
                <w:color w:val="000000"/>
                <w:sz w:val="22"/>
                <w:lang w:val="x-none"/>
              </w:rPr>
              <w:t xml:space="preserve">, t.sk. </w:t>
            </w:r>
            <w:proofErr w:type="spellStart"/>
            <w:r w:rsidRPr="00D656D6">
              <w:rPr>
                <w:rFonts w:eastAsia="Times New Roman"/>
                <w:color w:val="000000"/>
                <w:sz w:val="22"/>
                <w:lang w:val="x-none"/>
              </w:rPr>
              <w:t>līguma</w:t>
            </w:r>
            <w:proofErr w:type="spellEnd"/>
            <w:r w:rsidRPr="00D656D6">
              <w:rPr>
                <w:rFonts w:eastAsia="Times New Roman"/>
                <w:color w:val="000000"/>
                <w:sz w:val="22"/>
                <w:lang w:val="x-none"/>
              </w:rPr>
              <w:t xml:space="preserve"> </w:t>
            </w:r>
            <w:proofErr w:type="spellStart"/>
            <w:r w:rsidRPr="00D656D6">
              <w:rPr>
                <w:rFonts w:eastAsia="Times New Roman"/>
                <w:color w:val="000000"/>
                <w:sz w:val="22"/>
                <w:lang w:val="x-none"/>
              </w:rPr>
              <w:t>kopija</w:t>
            </w:r>
            <w:proofErr w:type="spellEnd"/>
            <w:r w:rsidRPr="00D656D6">
              <w:rPr>
                <w:rFonts w:eastAsia="Times New Roman"/>
                <w:color w:val="000000"/>
                <w:sz w:val="22"/>
                <w:lang w:val="x-none"/>
              </w:rPr>
              <w:t xml:space="preserve"> (</w:t>
            </w:r>
            <w:proofErr w:type="spellStart"/>
            <w:r w:rsidRPr="00D656D6">
              <w:rPr>
                <w:rFonts w:eastAsia="Times New Roman"/>
                <w:color w:val="000000"/>
                <w:sz w:val="22"/>
                <w:lang w:val="x-none"/>
              </w:rPr>
              <w:t>izziņa</w:t>
            </w:r>
            <w:proofErr w:type="spellEnd"/>
            <w:r w:rsidRPr="00D656D6">
              <w:rPr>
                <w:rFonts w:eastAsia="Times New Roman"/>
                <w:color w:val="000000"/>
                <w:sz w:val="22"/>
                <w:lang w:val="x-none"/>
              </w:rPr>
              <w:t xml:space="preserve">) par </w:t>
            </w:r>
            <w:r w:rsidRPr="00D656D6">
              <w:rPr>
                <w:rFonts w:eastAsia="Times New Roman"/>
                <w:color w:val="000000"/>
                <w:sz w:val="22"/>
                <w:lang w:val="lv-LV"/>
              </w:rPr>
              <w:t>atbalsta saņēmēja</w:t>
            </w:r>
            <w:r w:rsidRPr="00D656D6">
              <w:rPr>
                <w:rFonts w:eastAsia="Times New Roman"/>
                <w:color w:val="000000"/>
                <w:sz w:val="22"/>
                <w:lang w:val="x-none"/>
              </w:rPr>
              <w:t xml:space="preserve"> </w:t>
            </w:r>
            <w:proofErr w:type="spellStart"/>
            <w:r w:rsidRPr="00D656D6">
              <w:rPr>
                <w:rFonts w:eastAsia="Times New Roman"/>
                <w:color w:val="000000"/>
                <w:sz w:val="22"/>
                <w:lang w:val="x-none"/>
              </w:rPr>
              <w:t>norēķinu</w:t>
            </w:r>
            <w:proofErr w:type="spellEnd"/>
            <w:r w:rsidRPr="00D656D6">
              <w:rPr>
                <w:rFonts w:eastAsia="Times New Roman"/>
                <w:color w:val="000000"/>
                <w:sz w:val="22"/>
                <w:lang w:val="x-none"/>
              </w:rPr>
              <w:t xml:space="preserve"> </w:t>
            </w:r>
            <w:proofErr w:type="spellStart"/>
            <w:r w:rsidRPr="00D656D6">
              <w:rPr>
                <w:rFonts w:eastAsia="Times New Roman"/>
                <w:color w:val="000000"/>
                <w:sz w:val="22"/>
                <w:lang w:val="x-none"/>
              </w:rPr>
              <w:t>konta</w:t>
            </w:r>
            <w:proofErr w:type="spellEnd"/>
            <w:r w:rsidRPr="00D656D6">
              <w:rPr>
                <w:rFonts w:eastAsia="Times New Roman"/>
                <w:color w:val="000000"/>
                <w:sz w:val="22"/>
                <w:lang w:val="x-none"/>
              </w:rPr>
              <w:t xml:space="preserve"> </w:t>
            </w:r>
            <w:proofErr w:type="spellStart"/>
            <w:r w:rsidRPr="00D656D6">
              <w:rPr>
                <w:rFonts w:eastAsia="Times New Roman"/>
                <w:color w:val="000000"/>
                <w:sz w:val="22"/>
                <w:lang w:val="x-none"/>
              </w:rPr>
              <w:t>bankā</w:t>
            </w:r>
            <w:proofErr w:type="spellEnd"/>
            <w:r w:rsidRPr="00D656D6">
              <w:rPr>
                <w:rFonts w:eastAsia="Times New Roman"/>
                <w:color w:val="000000"/>
                <w:sz w:val="22"/>
                <w:lang w:val="x-none"/>
              </w:rPr>
              <w:t xml:space="preserve"> </w:t>
            </w:r>
            <w:proofErr w:type="spellStart"/>
            <w:r w:rsidRPr="00D656D6">
              <w:rPr>
                <w:rFonts w:eastAsia="Times New Roman"/>
                <w:color w:val="000000"/>
                <w:sz w:val="22"/>
                <w:lang w:val="x-none"/>
              </w:rPr>
              <w:t>vai</w:t>
            </w:r>
            <w:proofErr w:type="spellEnd"/>
            <w:r w:rsidRPr="00D656D6">
              <w:rPr>
                <w:rFonts w:eastAsia="Times New Roman"/>
                <w:color w:val="000000"/>
                <w:sz w:val="22"/>
                <w:lang w:val="x-none"/>
              </w:rPr>
              <w:t xml:space="preserve"> </w:t>
            </w:r>
            <w:proofErr w:type="spellStart"/>
            <w:r w:rsidRPr="00D656D6">
              <w:rPr>
                <w:rFonts w:eastAsia="Times New Roman"/>
                <w:color w:val="000000"/>
                <w:sz w:val="22"/>
                <w:lang w:val="x-none"/>
              </w:rPr>
              <w:t>Valsts</w:t>
            </w:r>
            <w:proofErr w:type="spellEnd"/>
            <w:r w:rsidRPr="00D656D6">
              <w:rPr>
                <w:rFonts w:eastAsia="Times New Roman"/>
                <w:color w:val="000000"/>
                <w:sz w:val="22"/>
                <w:lang w:val="x-none"/>
              </w:rPr>
              <w:t xml:space="preserve"> </w:t>
            </w:r>
            <w:proofErr w:type="spellStart"/>
            <w:r w:rsidRPr="00D656D6">
              <w:rPr>
                <w:rFonts w:eastAsia="Times New Roman"/>
                <w:color w:val="000000"/>
                <w:sz w:val="22"/>
                <w:lang w:val="x-none"/>
              </w:rPr>
              <w:t>kasē</w:t>
            </w:r>
            <w:proofErr w:type="spellEnd"/>
            <w:r w:rsidRPr="00D656D6">
              <w:rPr>
                <w:rFonts w:eastAsia="Times New Roman"/>
                <w:color w:val="000000"/>
                <w:sz w:val="22"/>
                <w:lang w:val="x-none"/>
              </w:rPr>
              <w:t xml:space="preserve"> </w:t>
            </w:r>
            <w:proofErr w:type="spellStart"/>
            <w:r w:rsidRPr="00D656D6">
              <w:rPr>
                <w:rFonts w:eastAsia="Times New Roman"/>
                <w:color w:val="000000"/>
                <w:sz w:val="22"/>
                <w:lang w:val="x-none"/>
              </w:rPr>
              <w:t>atvēršanu</w:t>
            </w:r>
            <w:proofErr w:type="spellEnd"/>
            <w:r w:rsidRPr="00D656D6">
              <w:rPr>
                <w:rFonts w:eastAsia="Times New Roman"/>
                <w:color w:val="000000"/>
                <w:sz w:val="22"/>
                <w:lang w:val="x-none"/>
              </w:rPr>
              <w:t>;</w:t>
            </w:r>
          </w:p>
          <w:p w14:paraId="5A6B358A" w14:textId="77777777" w:rsidR="00791FDF" w:rsidRPr="00D656D6" w:rsidRDefault="00791FDF" w:rsidP="004A3D64">
            <w:pPr>
              <w:widowControl/>
              <w:spacing w:after="0" w:line="240" w:lineRule="auto"/>
              <w:ind w:left="315" w:hanging="315"/>
              <w:jc w:val="both"/>
              <w:rPr>
                <w:rFonts w:eastAsia="Times New Roman"/>
                <w:color w:val="000000"/>
                <w:sz w:val="22"/>
                <w:lang w:val="x-none"/>
              </w:rPr>
            </w:pPr>
            <w:r w:rsidRPr="00D656D6">
              <w:rPr>
                <w:rFonts w:eastAsia="Times New Roman"/>
                <w:color w:val="000000"/>
                <w:sz w:val="22"/>
                <w:lang w:val="lv-LV"/>
              </w:rPr>
              <w:t>2) ECB mājaslapa un citas mājas lapas, kurās ir pieejama informācija par nekotēto valūtu kursiem.</w:t>
            </w:r>
          </w:p>
          <w:p w14:paraId="5DF1CD51" w14:textId="77777777" w:rsidR="00791FDF" w:rsidRPr="00D656D6" w:rsidRDefault="00791FDF" w:rsidP="004A3D64">
            <w:pPr>
              <w:widowControl/>
              <w:spacing w:after="0" w:line="240" w:lineRule="auto"/>
              <w:jc w:val="both"/>
              <w:rPr>
                <w:rFonts w:ascii="Calibri" w:hAnsi="Calibri"/>
                <w:color w:val="000000"/>
                <w:sz w:val="22"/>
                <w:lang w:val="x-none"/>
              </w:rPr>
            </w:pPr>
            <w:r w:rsidRPr="00D656D6">
              <w:rPr>
                <w:rFonts w:eastAsia="Times New Roman"/>
                <w:color w:val="000000"/>
                <w:sz w:val="22"/>
                <w:lang w:val="lv-LV"/>
              </w:rPr>
              <w:t>3)   MP 5 sadaļa</w:t>
            </w:r>
          </w:p>
        </w:tc>
      </w:tr>
      <w:tr w:rsidR="00791FDF" w:rsidRPr="00D656D6" w14:paraId="41D2FC26" w14:textId="77777777" w:rsidTr="004A3D64">
        <w:trPr>
          <w:trHeight w:val="530"/>
        </w:trPr>
        <w:tc>
          <w:tcPr>
            <w:tcW w:w="720" w:type="dxa"/>
          </w:tcPr>
          <w:p w14:paraId="64C62B09" w14:textId="77777777" w:rsidR="00791FDF" w:rsidRPr="00D656D6" w:rsidRDefault="00791FDF" w:rsidP="004A3D64">
            <w:pPr>
              <w:widowControl/>
              <w:spacing w:after="0" w:line="240" w:lineRule="auto"/>
              <w:jc w:val="center"/>
              <w:rPr>
                <w:rFonts w:eastAsia="Times New Roman"/>
                <w:color w:val="000000"/>
                <w:sz w:val="22"/>
                <w:lang w:val="lv-LV" w:eastAsia="lv-LV"/>
              </w:rPr>
            </w:pPr>
            <w:r w:rsidRPr="00D656D6">
              <w:rPr>
                <w:rFonts w:eastAsia="Times New Roman"/>
                <w:color w:val="000000"/>
                <w:sz w:val="22"/>
                <w:lang w:val="lv-LV" w:eastAsia="lv-LV"/>
              </w:rPr>
              <w:t>10.</w:t>
            </w:r>
          </w:p>
        </w:tc>
        <w:tc>
          <w:tcPr>
            <w:tcW w:w="3780" w:type="dxa"/>
          </w:tcPr>
          <w:p w14:paraId="216DDC3A" w14:textId="77777777" w:rsidR="00791FDF" w:rsidRPr="00D656D6" w:rsidRDefault="00791FDF" w:rsidP="004A3D64">
            <w:pPr>
              <w:widowControl/>
              <w:spacing w:after="0" w:line="240" w:lineRule="auto"/>
              <w:jc w:val="both"/>
              <w:rPr>
                <w:rFonts w:eastAsia="Times New Roman"/>
                <w:color w:val="000000"/>
                <w:sz w:val="22"/>
                <w:lang w:val="lv-LV" w:eastAsia="lv-LV"/>
              </w:rPr>
            </w:pPr>
            <w:r w:rsidRPr="00D656D6">
              <w:rPr>
                <w:rFonts w:eastAsia="Times New Roman"/>
                <w:color w:val="000000"/>
                <w:sz w:val="22"/>
                <w:lang w:val="lv-LV" w:eastAsia="lv-LV"/>
              </w:rPr>
              <w:t xml:space="preserve">Iesniegts prasībām atbilstošs grāmatvedības kontu plāns un konta izdrukas </w:t>
            </w:r>
          </w:p>
        </w:tc>
        <w:tc>
          <w:tcPr>
            <w:tcW w:w="6699" w:type="dxa"/>
          </w:tcPr>
          <w:p w14:paraId="0EA65C63" w14:textId="77777777" w:rsidR="00791FDF" w:rsidRPr="00D656D6" w:rsidRDefault="00791FDF" w:rsidP="004A3D64">
            <w:pPr>
              <w:widowControl/>
              <w:spacing w:after="0" w:line="240" w:lineRule="auto"/>
              <w:jc w:val="both"/>
              <w:rPr>
                <w:rFonts w:eastAsia="Times New Roman"/>
                <w:color w:val="000000"/>
                <w:sz w:val="22"/>
                <w:lang w:val="lv-LV"/>
              </w:rPr>
            </w:pPr>
            <w:r w:rsidRPr="00D656D6">
              <w:rPr>
                <w:rFonts w:eastAsia="Times New Roman"/>
                <w:color w:val="000000"/>
                <w:sz w:val="22"/>
                <w:lang w:val="lv-LV"/>
              </w:rPr>
              <w:t>Pārbauda, vai:</w:t>
            </w:r>
          </w:p>
          <w:p w14:paraId="1F33081A" w14:textId="77777777" w:rsidR="00791FDF" w:rsidRPr="00D656D6" w:rsidRDefault="00791FDF" w:rsidP="00791FDF">
            <w:pPr>
              <w:widowControl/>
              <w:numPr>
                <w:ilvl w:val="0"/>
                <w:numId w:val="3"/>
              </w:numPr>
              <w:spacing w:after="0" w:line="240" w:lineRule="auto"/>
              <w:jc w:val="both"/>
              <w:rPr>
                <w:rFonts w:ascii="Calibri" w:hAnsi="Calibri"/>
                <w:color w:val="000000"/>
                <w:sz w:val="22"/>
                <w:lang w:val="lv-LV"/>
              </w:rPr>
            </w:pPr>
            <w:r w:rsidRPr="00D656D6">
              <w:rPr>
                <w:rFonts w:eastAsia="Times New Roman"/>
                <w:color w:val="000000"/>
                <w:sz w:val="22"/>
                <w:lang w:val="lv-LV"/>
              </w:rPr>
              <w:t>vai maksājuma pieprasījumam ir pievienota apstiprināta grāmatvedības kontu plāna atbilstoši Ministru kabineta 2003.gada 21.oktobra noteikumiem Nr.585 „Noteikumi par grāmatvedības kārtošanu un organizāciju” kopija;</w:t>
            </w:r>
          </w:p>
          <w:p w14:paraId="03CA8186" w14:textId="77777777" w:rsidR="00791FDF" w:rsidRPr="00D656D6" w:rsidRDefault="00791FDF" w:rsidP="004A3D64">
            <w:pPr>
              <w:widowControl/>
              <w:spacing w:after="0" w:line="240" w:lineRule="auto"/>
              <w:ind w:left="358" w:hanging="358"/>
              <w:jc w:val="both"/>
              <w:rPr>
                <w:rFonts w:eastAsia="Times New Roman"/>
                <w:bCs/>
                <w:color w:val="000000"/>
                <w:sz w:val="22"/>
                <w:lang w:val="lv-LV"/>
              </w:rPr>
            </w:pPr>
            <w:r w:rsidRPr="00D656D6">
              <w:rPr>
                <w:rFonts w:eastAsia="Times New Roman"/>
                <w:color w:val="000000"/>
                <w:sz w:val="22"/>
                <w:lang w:val="lv-LV"/>
              </w:rPr>
              <w:lastRenderedPageBreak/>
              <w:t xml:space="preserve">2.   kontu plānā ir konti, </w:t>
            </w:r>
            <w:r w:rsidRPr="00D656D6">
              <w:rPr>
                <w:rFonts w:eastAsia="Times New Roman"/>
                <w:bCs/>
                <w:color w:val="000000"/>
                <w:sz w:val="22"/>
                <w:lang w:val="lv-LV"/>
              </w:rPr>
              <w:t>kas nodrošina atsevišķu uzskaiti un pārskatu par atbalstāmo darbību īstenošanu, tai skaitā konts 6.vai 8.kontu grupā, kurā tiks grāmatos saņemtais atbalsts;</w:t>
            </w:r>
          </w:p>
          <w:p w14:paraId="0AD7AE60" w14:textId="77777777" w:rsidR="00791FDF" w:rsidRPr="00D656D6" w:rsidRDefault="00791FDF" w:rsidP="004A3D64">
            <w:pPr>
              <w:widowControl/>
              <w:spacing w:after="0" w:line="240" w:lineRule="auto"/>
              <w:ind w:left="358" w:hanging="358"/>
              <w:jc w:val="both"/>
              <w:rPr>
                <w:rFonts w:eastAsia="Times New Roman"/>
                <w:color w:val="000000"/>
                <w:sz w:val="22"/>
                <w:lang w:val="lv-LV"/>
              </w:rPr>
            </w:pPr>
            <w:r w:rsidRPr="00D656D6">
              <w:rPr>
                <w:rFonts w:eastAsia="Times New Roman"/>
                <w:color w:val="000000"/>
                <w:sz w:val="22"/>
                <w:lang w:val="lv-LV"/>
              </w:rPr>
              <w:t>3.  kontu plāns atbilst Ministru kabineta noteikumiem, kas nosaka kārtību, kādā finanšu pārskatos atspoguļojams valsts, pašvaldību, ārvalstu, Eiropas Kopienas, citu starptautisko organizāciju un institūciju finansiālais atbalsts (finanšu palīdzība), ziedojumi un dāvinājumi naudā vai natūrā prasībām, t.i., tajā ir ietverti ar atbalstāmo darbību īstenošanu saistītie konti;</w:t>
            </w:r>
          </w:p>
          <w:p w14:paraId="0F49514D" w14:textId="77777777" w:rsidR="00791FDF" w:rsidRPr="00D656D6" w:rsidRDefault="00791FDF" w:rsidP="004A3D64">
            <w:pPr>
              <w:widowControl/>
              <w:spacing w:after="0" w:line="240" w:lineRule="auto"/>
              <w:ind w:left="358" w:hanging="358"/>
              <w:contextualSpacing/>
              <w:jc w:val="both"/>
              <w:rPr>
                <w:rFonts w:eastAsia="Times New Roman"/>
                <w:color w:val="000000"/>
                <w:sz w:val="22"/>
                <w:lang w:val="lv-LV"/>
              </w:rPr>
            </w:pPr>
            <w:r w:rsidRPr="00D656D6">
              <w:rPr>
                <w:rFonts w:eastAsia="Times New Roman"/>
                <w:color w:val="000000"/>
                <w:sz w:val="22"/>
                <w:lang w:val="lv-LV"/>
              </w:rPr>
              <w:t>4.  kontu vai subkontu apgrozījumu izdrukās norādītais periods atbilst  MP norādītajam pārskata perioda sākuma un beigu datumam</w:t>
            </w:r>
          </w:p>
          <w:p w14:paraId="0AC0A1D6" w14:textId="77777777" w:rsidR="00791FDF" w:rsidRPr="00D656D6" w:rsidRDefault="00791FDF" w:rsidP="004A3D64">
            <w:pPr>
              <w:widowControl/>
              <w:spacing w:after="0" w:line="240" w:lineRule="auto"/>
              <w:ind w:left="358" w:hanging="358"/>
              <w:contextualSpacing/>
              <w:jc w:val="both"/>
              <w:rPr>
                <w:rFonts w:eastAsia="Times New Roman"/>
                <w:color w:val="000000"/>
                <w:sz w:val="22"/>
                <w:lang w:val="lv-LV"/>
              </w:rPr>
            </w:pPr>
            <w:r w:rsidRPr="00D656D6">
              <w:rPr>
                <w:rFonts w:eastAsia="Times New Roman"/>
                <w:color w:val="000000"/>
                <w:sz w:val="22"/>
                <w:lang w:val="lv-LV"/>
              </w:rPr>
              <w:t>5. kontu vai subkontu apgrozījuma izdrukās ir iekļauti visi ar attiecināmajām izmaksām saistītie izdevumi un var identificēt darījuma partnerus, datumu, pamatojuma dokumentus, sākuma un beigu saldo;</w:t>
            </w:r>
          </w:p>
          <w:p w14:paraId="1B0D3E53" w14:textId="77777777" w:rsidR="00791FDF" w:rsidRPr="00D656D6" w:rsidRDefault="00791FDF" w:rsidP="004A3D64">
            <w:pPr>
              <w:widowControl/>
              <w:spacing w:after="0" w:line="240" w:lineRule="auto"/>
              <w:ind w:left="358" w:hanging="358"/>
              <w:contextualSpacing/>
              <w:jc w:val="both"/>
              <w:rPr>
                <w:color w:val="000000" w:themeColor="text1"/>
                <w:sz w:val="22"/>
                <w:lang w:val="lv-LV"/>
              </w:rPr>
            </w:pPr>
            <w:r w:rsidRPr="00D656D6">
              <w:rPr>
                <w:sz w:val="22"/>
                <w:lang w:val="lv-LV"/>
              </w:rPr>
              <w:t xml:space="preserve">6.   Gadījumā, ja MP nav pievienotas grāmatvedības kontu izdrukas, tad pārbauda, vai uz darījuma un maksājuma apliecinošajiem dokumentiem ir norādīti grāmatojumi un summas </w:t>
            </w:r>
            <w:r w:rsidRPr="00D656D6">
              <w:rPr>
                <w:i/>
                <w:iCs/>
                <w:sz w:val="22"/>
                <w:lang w:val="lv-LV"/>
              </w:rPr>
              <w:t>euro</w:t>
            </w:r>
            <w:r w:rsidRPr="00D656D6">
              <w:rPr>
                <w:sz w:val="22"/>
                <w:lang w:val="lv-LV"/>
              </w:rPr>
              <w:t>.</w:t>
            </w:r>
          </w:p>
        </w:tc>
        <w:tc>
          <w:tcPr>
            <w:tcW w:w="3549" w:type="dxa"/>
          </w:tcPr>
          <w:p w14:paraId="661CB6BD" w14:textId="77777777" w:rsidR="00791FDF" w:rsidRPr="00D656D6" w:rsidRDefault="00791FDF" w:rsidP="00791FDF">
            <w:pPr>
              <w:widowControl/>
              <w:numPr>
                <w:ilvl w:val="0"/>
                <w:numId w:val="6"/>
              </w:numPr>
              <w:spacing w:after="0" w:line="240" w:lineRule="auto"/>
              <w:jc w:val="both"/>
              <w:rPr>
                <w:rFonts w:eastAsia="Times New Roman"/>
                <w:color w:val="000000"/>
                <w:sz w:val="22"/>
                <w:lang w:val="lv-LV"/>
              </w:rPr>
            </w:pPr>
            <w:r w:rsidRPr="00D656D6">
              <w:rPr>
                <w:rFonts w:eastAsia="Times New Roman"/>
                <w:color w:val="000000"/>
                <w:sz w:val="22"/>
                <w:lang w:val="lv-LV"/>
              </w:rPr>
              <w:lastRenderedPageBreak/>
              <w:t>MP, t.sk. grāmatvedības konta plāns.</w:t>
            </w:r>
          </w:p>
          <w:p w14:paraId="769B6086" w14:textId="77777777" w:rsidR="00791FDF" w:rsidRPr="00D656D6" w:rsidRDefault="00791FDF" w:rsidP="00791FDF">
            <w:pPr>
              <w:widowControl/>
              <w:numPr>
                <w:ilvl w:val="0"/>
                <w:numId w:val="6"/>
              </w:numPr>
              <w:spacing w:after="0" w:line="240" w:lineRule="auto"/>
              <w:jc w:val="both"/>
              <w:rPr>
                <w:rFonts w:eastAsia="Times New Roman"/>
                <w:color w:val="000000"/>
                <w:sz w:val="22"/>
                <w:lang w:val="lv-LV"/>
              </w:rPr>
            </w:pPr>
            <w:r w:rsidRPr="00D656D6">
              <w:rPr>
                <w:rFonts w:eastAsia="Times New Roman"/>
                <w:color w:val="000000"/>
                <w:sz w:val="22"/>
                <w:lang w:val="lv-LV"/>
              </w:rPr>
              <w:t>MP 7. sadaļa</w:t>
            </w:r>
          </w:p>
        </w:tc>
      </w:tr>
      <w:tr w:rsidR="00791FDF" w:rsidRPr="00D656D6" w14:paraId="7C63D2C8" w14:textId="77777777" w:rsidTr="004A3D64">
        <w:trPr>
          <w:trHeight w:val="530"/>
        </w:trPr>
        <w:tc>
          <w:tcPr>
            <w:tcW w:w="720" w:type="dxa"/>
          </w:tcPr>
          <w:p w14:paraId="5620273A" w14:textId="77777777" w:rsidR="00791FDF" w:rsidRPr="00D656D6" w:rsidRDefault="00791FDF" w:rsidP="004A3D64">
            <w:pPr>
              <w:widowControl/>
              <w:spacing w:after="0" w:line="240" w:lineRule="auto"/>
              <w:jc w:val="center"/>
              <w:rPr>
                <w:rFonts w:eastAsia="Times New Roman"/>
                <w:color w:val="000000"/>
                <w:sz w:val="22"/>
                <w:lang w:val="lv-LV" w:eastAsia="lv-LV"/>
              </w:rPr>
            </w:pPr>
            <w:r w:rsidRPr="00D656D6">
              <w:rPr>
                <w:rFonts w:eastAsia="Times New Roman"/>
                <w:color w:val="000000"/>
                <w:sz w:val="22"/>
                <w:lang w:val="lv-LV" w:eastAsia="lv-LV"/>
              </w:rPr>
              <w:t>11.</w:t>
            </w:r>
          </w:p>
        </w:tc>
        <w:tc>
          <w:tcPr>
            <w:tcW w:w="3780" w:type="dxa"/>
          </w:tcPr>
          <w:p w14:paraId="2A8DCBB7" w14:textId="77777777" w:rsidR="00791FDF" w:rsidRPr="00D656D6" w:rsidRDefault="00791FDF" w:rsidP="004A3D64">
            <w:pPr>
              <w:widowControl/>
              <w:spacing w:after="0" w:line="240" w:lineRule="auto"/>
              <w:jc w:val="both"/>
              <w:rPr>
                <w:rFonts w:eastAsia="Times New Roman"/>
                <w:color w:val="000000"/>
                <w:sz w:val="22"/>
                <w:lang w:val="lv-LV" w:eastAsia="lv-LV"/>
              </w:rPr>
            </w:pPr>
            <w:r w:rsidRPr="00D656D6">
              <w:rPr>
                <w:rFonts w:eastAsia="Times New Roman"/>
                <w:color w:val="000000"/>
                <w:sz w:val="22"/>
                <w:lang w:val="lv-LV" w:eastAsia="lv-LV"/>
              </w:rPr>
              <w:t>Svešvalodā iesniegtiem dokumentiem ir pievienoti šo dokumentu tulkojumi.</w:t>
            </w:r>
          </w:p>
        </w:tc>
        <w:tc>
          <w:tcPr>
            <w:tcW w:w="6699" w:type="dxa"/>
          </w:tcPr>
          <w:p w14:paraId="1CCCF7AF" w14:textId="77777777" w:rsidR="00791FDF" w:rsidRPr="00D656D6" w:rsidRDefault="00791FDF" w:rsidP="004A3D64">
            <w:pPr>
              <w:widowControl/>
              <w:spacing w:after="0" w:line="240" w:lineRule="auto"/>
              <w:jc w:val="both"/>
              <w:rPr>
                <w:rFonts w:eastAsia="Times New Roman"/>
                <w:color w:val="000000"/>
                <w:sz w:val="22"/>
                <w:lang w:val="lv-LV"/>
              </w:rPr>
            </w:pPr>
            <w:r w:rsidRPr="00D656D6">
              <w:rPr>
                <w:rFonts w:eastAsia="Times New Roman"/>
                <w:color w:val="000000"/>
                <w:sz w:val="22"/>
                <w:lang w:val="lv-LV"/>
              </w:rPr>
              <w:t>Pārbauda, vai svešvalodā iesniegtajiem dokumentiem (līgumiem, darījumu apliecinošajiem dokumentiem, maksājumu apliecinošajiem dokumentiem) ir pievienoti šo dokumentu tulkojumi valsts valodā atbilstoši Ministru kabineta 2000.gada 22.augusta noteikumiem Nr.291 „Kārtība, kādā apliecināmi dokumentu tulkojumi valsts valodā”. Ja avansa norēķinā, kuram pievienoti maksājumu apliecinošie dokumenti (čeks, biļete, kvīts u.c.) svešvalodā, ir norādīta detalizēta informācija latviešu valodā par maksājuma dokumentu (dokumenta datums, summa, pakalpojuma sniedzējs, pakalpojuma veids), tad tulkojumu avansa norēķinā norādītajiem dokumentiem nav nepieciešams pievienot.</w:t>
            </w:r>
          </w:p>
        </w:tc>
        <w:tc>
          <w:tcPr>
            <w:tcW w:w="3549" w:type="dxa"/>
          </w:tcPr>
          <w:p w14:paraId="7E46C3FF" w14:textId="77777777" w:rsidR="00791FDF" w:rsidRPr="00D656D6" w:rsidRDefault="00791FDF" w:rsidP="004A3D64">
            <w:pPr>
              <w:widowControl/>
              <w:spacing w:after="0" w:line="240" w:lineRule="auto"/>
              <w:jc w:val="both"/>
              <w:rPr>
                <w:rFonts w:eastAsia="Times New Roman"/>
                <w:color w:val="000000"/>
                <w:sz w:val="22"/>
                <w:lang w:val="lv-LV"/>
              </w:rPr>
            </w:pPr>
            <w:r w:rsidRPr="00D656D6">
              <w:rPr>
                <w:rFonts w:eastAsia="Times New Roman"/>
                <w:color w:val="000000"/>
                <w:sz w:val="22"/>
                <w:lang w:val="lv-LV"/>
              </w:rPr>
              <w:t>MP</w:t>
            </w:r>
          </w:p>
          <w:p w14:paraId="7BD9FC27" w14:textId="77777777" w:rsidR="00791FDF" w:rsidRPr="00D656D6" w:rsidRDefault="00791FDF" w:rsidP="004A3D64">
            <w:pPr>
              <w:widowControl/>
              <w:spacing w:after="0" w:line="240" w:lineRule="auto"/>
              <w:jc w:val="both"/>
              <w:rPr>
                <w:rFonts w:eastAsia="Times New Roman"/>
                <w:color w:val="000000"/>
                <w:sz w:val="22"/>
                <w:lang w:val="lv-LV"/>
              </w:rPr>
            </w:pPr>
          </w:p>
          <w:p w14:paraId="74AB615F" w14:textId="77777777" w:rsidR="00791FDF" w:rsidRPr="00D656D6" w:rsidRDefault="00791FDF" w:rsidP="004A3D64">
            <w:pPr>
              <w:widowControl/>
              <w:spacing w:after="0" w:line="240" w:lineRule="auto"/>
              <w:jc w:val="both"/>
              <w:rPr>
                <w:rFonts w:eastAsia="Times New Roman"/>
                <w:color w:val="000000"/>
                <w:sz w:val="22"/>
                <w:lang w:val="lv-LV"/>
              </w:rPr>
            </w:pPr>
          </w:p>
          <w:p w14:paraId="6DC3676E" w14:textId="77777777" w:rsidR="00791FDF" w:rsidRPr="00D656D6" w:rsidRDefault="00791FDF" w:rsidP="004A3D64">
            <w:pPr>
              <w:widowControl/>
              <w:spacing w:after="0" w:line="240" w:lineRule="auto"/>
              <w:jc w:val="both"/>
              <w:rPr>
                <w:rFonts w:eastAsia="Times New Roman"/>
                <w:color w:val="000000"/>
                <w:sz w:val="22"/>
                <w:lang w:val="lv-LV"/>
              </w:rPr>
            </w:pPr>
          </w:p>
        </w:tc>
      </w:tr>
    </w:tbl>
    <w:p w14:paraId="1C9A2B2F" w14:textId="77777777" w:rsidR="00791FDF" w:rsidRDefault="00791FDF" w:rsidP="00791FDF">
      <w:pPr>
        <w:widowControl/>
        <w:spacing w:after="160" w:line="259" w:lineRule="auto"/>
        <w:rPr>
          <w:szCs w:val="24"/>
          <w:lang w:val="lv-LV"/>
        </w:rPr>
      </w:pPr>
    </w:p>
    <w:p w14:paraId="57665AD8" w14:textId="64A08AD2" w:rsidR="00AB0E6E" w:rsidRPr="00791FDF" w:rsidRDefault="00AB0E6E" w:rsidP="00791FDF">
      <w:pPr>
        <w:widowControl/>
        <w:spacing w:after="160" w:line="259" w:lineRule="auto"/>
        <w:rPr>
          <w:szCs w:val="24"/>
          <w:lang w:val="lv-LV"/>
        </w:rPr>
      </w:pPr>
    </w:p>
    <w:sectPr w:rsidR="00AB0E6E" w:rsidRPr="00791FDF" w:rsidSect="00791FDF">
      <w:pgSz w:w="16838" w:h="11906" w:orient="landscape" w:code="9"/>
      <w:pgMar w:top="1797" w:right="1440" w:bottom="179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22E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1">
    <w:nsid w:val="0460748A"/>
    <w:multiLevelType w:val="hybridMultilevel"/>
    <w:tmpl w:val="704E03CA"/>
    <w:lvl w:ilvl="0" w:tplc="D0D27D28">
      <w:start w:val="1"/>
      <w:numFmt w:val="decimal"/>
      <w:lvlText w:val="%1)"/>
      <w:lvlJc w:val="left"/>
      <w:pPr>
        <w:ind w:left="720" w:hanging="360"/>
      </w:pPr>
    </w:lvl>
    <w:lvl w:ilvl="1" w:tplc="FDB48636">
      <w:start w:val="1"/>
      <w:numFmt w:val="lowerLetter"/>
      <w:lvlText w:val="%2."/>
      <w:lvlJc w:val="left"/>
      <w:pPr>
        <w:ind w:left="1440" w:hanging="360"/>
      </w:pPr>
    </w:lvl>
    <w:lvl w:ilvl="2" w:tplc="61C410C0">
      <w:start w:val="1"/>
      <w:numFmt w:val="lowerRoman"/>
      <w:lvlText w:val="%3."/>
      <w:lvlJc w:val="right"/>
      <w:pPr>
        <w:ind w:left="2160" w:hanging="180"/>
      </w:pPr>
    </w:lvl>
    <w:lvl w:ilvl="3" w:tplc="05F2753C">
      <w:start w:val="1"/>
      <w:numFmt w:val="decimal"/>
      <w:lvlText w:val="%4."/>
      <w:lvlJc w:val="left"/>
      <w:pPr>
        <w:ind w:left="2880" w:hanging="360"/>
      </w:pPr>
    </w:lvl>
    <w:lvl w:ilvl="4" w:tplc="213685FC">
      <w:start w:val="1"/>
      <w:numFmt w:val="lowerLetter"/>
      <w:lvlText w:val="%5."/>
      <w:lvlJc w:val="left"/>
      <w:pPr>
        <w:ind w:left="3600" w:hanging="360"/>
      </w:pPr>
    </w:lvl>
    <w:lvl w:ilvl="5" w:tplc="A46EB4BC">
      <w:start w:val="1"/>
      <w:numFmt w:val="lowerRoman"/>
      <w:lvlText w:val="%6."/>
      <w:lvlJc w:val="right"/>
      <w:pPr>
        <w:ind w:left="4320" w:hanging="180"/>
      </w:pPr>
    </w:lvl>
    <w:lvl w:ilvl="6" w:tplc="0860B510">
      <w:start w:val="1"/>
      <w:numFmt w:val="decimal"/>
      <w:lvlText w:val="%7."/>
      <w:lvlJc w:val="left"/>
      <w:pPr>
        <w:ind w:left="5040" w:hanging="360"/>
      </w:pPr>
    </w:lvl>
    <w:lvl w:ilvl="7" w:tplc="AC5CE43A">
      <w:start w:val="1"/>
      <w:numFmt w:val="lowerLetter"/>
      <w:lvlText w:val="%8."/>
      <w:lvlJc w:val="left"/>
      <w:pPr>
        <w:ind w:left="5760" w:hanging="360"/>
      </w:pPr>
    </w:lvl>
    <w:lvl w:ilvl="8" w:tplc="06D20C18">
      <w:start w:val="1"/>
      <w:numFmt w:val="lowerRoman"/>
      <w:lvlText w:val="%9."/>
      <w:lvlJc w:val="right"/>
      <w:pPr>
        <w:ind w:left="6480" w:hanging="180"/>
      </w:pPr>
    </w:lvl>
  </w:abstractNum>
  <w:abstractNum w:abstractNumId="2" w15:restartNumberingAfterBreak="1">
    <w:nsid w:val="06F638B0"/>
    <w:multiLevelType w:val="hybridMultilevel"/>
    <w:tmpl w:val="1076D0C2"/>
    <w:lvl w:ilvl="0" w:tplc="18BE9EA0">
      <w:start w:val="1"/>
      <w:numFmt w:val="bullet"/>
      <w:lvlText w:val=""/>
      <w:lvlJc w:val="left"/>
      <w:pPr>
        <w:ind w:left="720" w:hanging="360"/>
      </w:pPr>
      <w:rPr>
        <w:rFonts w:ascii="Symbol" w:hAnsi="Symbol" w:hint="default"/>
      </w:rPr>
    </w:lvl>
    <w:lvl w:ilvl="1" w:tplc="01B27758" w:tentative="1">
      <w:start w:val="1"/>
      <w:numFmt w:val="bullet"/>
      <w:lvlText w:val="o"/>
      <w:lvlJc w:val="left"/>
      <w:pPr>
        <w:ind w:left="1440" w:hanging="360"/>
      </w:pPr>
      <w:rPr>
        <w:rFonts w:ascii="Courier New" w:hAnsi="Courier New" w:cs="Courier New" w:hint="default"/>
      </w:rPr>
    </w:lvl>
    <w:lvl w:ilvl="2" w:tplc="FCD065FA" w:tentative="1">
      <w:start w:val="1"/>
      <w:numFmt w:val="bullet"/>
      <w:lvlText w:val=""/>
      <w:lvlJc w:val="left"/>
      <w:pPr>
        <w:ind w:left="2160" w:hanging="360"/>
      </w:pPr>
      <w:rPr>
        <w:rFonts w:ascii="Wingdings" w:hAnsi="Wingdings" w:hint="default"/>
      </w:rPr>
    </w:lvl>
    <w:lvl w:ilvl="3" w:tplc="A7CE0C7E" w:tentative="1">
      <w:start w:val="1"/>
      <w:numFmt w:val="bullet"/>
      <w:lvlText w:val=""/>
      <w:lvlJc w:val="left"/>
      <w:pPr>
        <w:ind w:left="2880" w:hanging="360"/>
      </w:pPr>
      <w:rPr>
        <w:rFonts w:ascii="Symbol" w:hAnsi="Symbol" w:hint="default"/>
      </w:rPr>
    </w:lvl>
    <w:lvl w:ilvl="4" w:tplc="A5F67DE8" w:tentative="1">
      <w:start w:val="1"/>
      <w:numFmt w:val="bullet"/>
      <w:lvlText w:val="o"/>
      <w:lvlJc w:val="left"/>
      <w:pPr>
        <w:ind w:left="3600" w:hanging="360"/>
      </w:pPr>
      <w:rPr>
        <w:rFonts w:ascii="Courier New" w:hAnsi="Courier New" w:cs="Courier New" w:hint="default"/>
      </w:rPr>
    </w:lvl>
    <w:lvl w:ilvl="5" w:tplc="9ED60FFA" w:tentative="1">
      <w:start w:val="1"/>
      <w:numFmt w:val="bullet"/>
      <w:lvlText w:val=""/>
      <w:lvlJc w:val="left"/>
      <w:pPr>
        <w:ind w:left="4320" w:hanging="360"/>
      </w:pPr>
      <w:rPr>
        <w:rFonts w:ascii="Wingdings" w:hAnsi="Wingdings" w:hint="default"/>
      </w:rPr>
    </w:lvl>
    <w:lvl w:ilvl="6" w:tplc="4C7CB47C" w:tentative="1">
      <w:start w:val="1"/>
      <w:numFmt w:val="bullet"/>
      <w:lvlText w:val=""/>
      <w:lvlJc w:val="left"/>
      <w:pPr>
        <w:ind w:left="5040" w:hanging="360"/>
      </w:pPr>
      <w:rPr>
        <w:rFonts w:ascii="Symbol" w:hAnsi="Symbol" w:hint="default"/>
      </w:rPr>
    </w:lvl>
    <w:lvl w:ilvl="7" w:tplc="A5BC8886" w:tentative="1">
      <w:start w:val="1"/>
      <w:numFmt w:val="bullet"/>
      <w:lvlText w:val="o"/>
      <w:lvlJc w:val="left"/>
      <w:pPr>
        <w:ind w:left="5760" w:hanging="360"/>
      </w:pPr>
      <w:rPr>
        <w:rFonts w:ascii="Courier New" w:hAnsi="Courier New" w:cs="Courier New" w:hint="default"/>
      </w:rPr>
    </w:lvl>
    <w:lvl w:ilvl="8" w:tplc="022C962E" w:tentative="1">
      <w:start w:val="1"/>
      <w:numFmt w:val="bullet"/>
      <w:lvlText w:val=""/>
      <w:lvlJc w:val="left"/>
      <w:pPr>
        <w:ind w:left="6480" w:hanging="360"/>
      </w:pPr>
      <w:rPr>
        <w:rFonts w:ascii="Wingdings" w:hAnsi="Wingdings" w:hint="default"/>
      </w:rPr>
    </w:lvl>
  </w:abstractNum>
  <w:abstractNum w:abstractNumId="3" w15:restartNumberingAfterBreak="1">
    <w:nsid w:val="266C387D"/>
    <w:multiLevelType w:val="hybridMultilevel"/>
    <w:tmpl w:val="14AC5410"/>
    <w:lvl w:ilvl="0" w:tplc="F46213DE">
      <w:start w:val="1"/>
      <w:numFmt w:val="decimal"/>
      <w:lvlText w:val="%1)"/>
      <w:lvlJc w:val="left"/>
      <w:pPr>
        <w:ind w:left="720" w:hanging="360"/>
      </w:pPr>
      <w:rPr>
        <w:rFonts w:hint="default"/>
      </w:rPr>
    </w:lvl>
    <w:lvl w:ilvl="1" w:tplc="72CC924A" w:tentative="1">
      <w:start w:val="1"/>
      <w:numFmt w:val="lowerLetter"/>
      <w:lvlText w:val="%2."/>
      <w:lvlJc w:val="left"/>
      <w:pPr>
        <w:ind w:left="1440" w:hanging="360"/>
      </w:pPr>
    </w:lvl>
    <w:lvl w:ilvl="2" w:tplc="A9D006A8" w:tentative="1">
      <w:start w:val="1"/>
      <w:numFmt w:val="lowerRoman"/>
      <w:lvlText w:val="%3."/>
      <w:lvlJc w:val="right"/>
      <w:pPr>
        <w:ind w:left="2160" w:hanging="180"/>
      </w:pPr>
    </w:lvl>
    <w:lvl w:ilvl="3" w:tplc="C49AC71A" w:tentative="1">
      <w:start w:val="1"/>
      <w:numFmt w:val="decimal"/>
      <w:lvlText w:val="%4."/>
      <w:lvlJc w:val="left"/>
      <w:pPr>
        <w:ind w:left="2880" w:hanging="360"/>
      </w:pPr>
    </w:lvl>
    <w:lvl w:ilvl="4" w:tplc="CF0CA44A" w:tentative="1">
      <w:start w:val="1"/>
      <w:numFmt w:val="lowerLetter"/>
      <w:lvlText w:val="%5."/>
      <w:lvlJc w:val="left"/>
      <w:pPr>
        <w:ind w:left="3600" w:hanging="360"/>
      </w:pPr>
    </w:lvl>
    <w:lvl w:ilvl="5" w:tplc="20C2321E" w:tentative="1">
      <w:start w:val="1"/>
      <w:numFmt w:val="lowerRoman"/>
      <w:lvlText w:val="%6."/>
      <w:lvlJc w:val="right"/>
      <w:pPr>
        <w:ind w:left="4320" w:hanging="180"/>
      </w:pPr>
    </w:lvl>
    <w:lvl w:ilvl="6" w:tplc="2E4EC578" w:tentative="1">
      <w:start w:val="1"/>
      <w:numFmt w:val="decimal"/>
      <w:lvlText w:val="%7."/>
      <w:lvlJc w:val="left"/>
      <w:pPr>
        <w:ind w:left="5040" w:hanging="360"/>
      </w:pPr>
    </w:lvl>
    <w:lvl w:ilvl="7" w:tplc="218A1EC0" w:tentative="1">
      <w:start w:val="1"/>
      <w:numFmt w:val="lowerLetter"/>
      <w:lvlText w:val="%8."/>
      <w:lvlJc w:val="left"/>
      <w:pPr>
        <w:ind w:left="5760" w:hanging="360"/>
      </w:pPr>
    </w:lvl>
    <w:lvl w:ilvl="8" w:tplc="09D0B80E" w:tentative="1">
      <w:start w:val="1"/>
      <w:numFmt w:val="lowerRoman"/>
      <w:lvlText w:val="%9."/>
      <w:lvlJc w:val="right"/>
      <w:pPr>
        <w:ind w:left="6480" w:hanging="180"/>
      </w:pPr>
    </w:lvl>
  </w:abstractNum>
  <w:abstractNum w:abstractNumId="4" w15:restartNumberingAfterBreak="1">
    <w:nsid w:val="29EB5406"/>
    <w:multiLevelType w:val="hybridMultilevel"/>
    <w:tmpl w:val="63F29FF8"/>
    <w:lvl w:ilvl="0" w:tplc="682A7FFE">
      <w:start w:val="1"/>
      <w:numFmt w:val="decimal"/>
      <w:lvlText w:val="%1)"/>
      <w:lvlJc w:val="left"/>
      <w:pPr>
        <w:ind w:left="720" w:hanging="360"/>
      </w:pPr>
    </w:lvl>
    <w:lvl w:ilvl="1" w:tplc="93E4F97E" w:tentative="1">
      <w:start w:val="1"/>
      <w:numFmt w:val="lowerLetter"/>
      <w:lvlText w:val="%2."/>
      <w:lvlJc w:val="left"/>
      <w:pPr>
        <w:ind w:left="1440" w:hanging="360"/>
      </w:pPr>
    </w:lvl>
    <w:lvl w:ilvl="2" w:tplc="0A06F49C" w:tentative="1">
      <w:start w:val="1"/>
      <w:numFmt w:val="lowerRoman"/>
      <w:lvlText w:val="%3."/>
      <w:lvlJc w:val="right"/>
      <w:pPr>
        <w:ind w:left="2160" w:hanging="180"/>
      </w:pPr>
    </w:lvl>
    <w:lvl w:ilvl="3" w:tplc="A7DC1944" w:tentative="1">
      <w:start w:val="1"/>
      <w:numFmt w:val="decimal"/>
      <w:lvlText w:val="%4."/>
      <w:lvlJc w:val="left"/>
      <w:pPr>
        <w:ind w:left="2880" w:hanging="360"/>
      </w:pPr>
    </w:lvl>
    <w:lvl w:ilvl="4" w:tplc="C638DB3E" w:tentative="1">
      <w:start w:val="1"/>
      <w:numFmt w:val="lowerLetter"/>
      <w:lvlText w:val="%5."/>
      <w:lvlJc w:val="left"/>
      <w:pPr>
        <w:ind w:left="3600" w:hanging="360"/>
      </w:pPr>
    </w:lvl>
    <w:lvl w:ilvl="5" w:tplc="710A150E" w:tentative="1">
      <w:start w:val="1"/>
      <w:numFmt w:val="lowerRoman"/>
      <w:lvlText w:val="%6."/>
      <w:lvlJc w:val="right"/>
      <w:pPr>
        <w:ind w:left="4320" w:hanging="180"/>
      </w:pPr>
    </w:lvl>
    <w:lvl w:ilvl="6" w:tplc="25EA0BDA" w:tentative="1">
      <w:start w:val="1"/>
      <w:numFmt w:val="decimal"/>
      <w:lvlText w:val="%7."/>
      <w:lvlJc w:val="left"/>
      <w:pPr>
        <w:ind w:left="5040" w:hanging="360"/>
      </w:pPr>
    </w:lvl>
    <w:lvl w:ilvl="7" w:tplc="EE6C562C" w:tentative="1">
      <w:start w:val="1"/>
      <w:numFmt w:val="lowerLetter"/>
      <w:lvlText w:val="%8."/>
      <w:lvlJc w:val="left"/>
      <w:pPr>
        <w:ind w:left="5760" w:hanging="360"/>
      </w:pPr>
    </w:lvl>
    <w:lvl w:ilvl="8" w:tplc="62640D6E" w:tentative="1">
      <w:start w:val="1"/>
      <w:numFmt w:val="lowerRoman"/>
      <w:lvlText w:val="%9."/>
      <w:lvlJc w:val="right"/>
      <w:pPr>
        <w:ind w:left="6480" w:hanging="180"/>
      </w:pPr>
    </w:lvl>
  </w:abstractNum>
  <w:abstractNum w:abstractNumId="5" w15:restartNumberingAfterBreak="1">
    <w:nsid w:val="34B67727"/>
    <w:multiLevelType w:val="hybridMultilevel"/>
    <w:tmpl w:val="D6C291CC"/>
    <w:lvl w:ilvl="0" w:tplc="6BE0DF18">
      <w:start w:val="1"/>
      <w:numFmt w:val="decimal"/>
      <w:lvlText w:val="%1)"/>
      <w:lvlJc w:val="left"/>
      <w:pPr>
        <w:ind w:left="720" w:hanging="360"/>
      </w:pPr>
      <w:rPr>
        <w:rFonts w:hint="default"/>
      </w:rPr>
    </w:lvl>
    <w:lvl w:ilvl="1" w:tplc="3B9654F2">
      <w:start w:val="6"/>
      <w:numFmt w:val="bullet"/>
      <w:lvlText w:val="-"/>
      <w:lvlJc w:val="left"/>
      <w:pPr>
        <w:ind w:left="1440" w:hanging="360"/>
      </w:pPr>
      <w:rPr>
        <w:rFonts w:ascii="Times New Roman" w:eastAsia="Times New Roman" w:hAnsi="Times New Roman" w:hint="default"/>
      </w:rPr>
    </w:lvl>
    <w:lvl w:ilvl="2" w:tplc="5EE875A0">
      <w:start w:val="1"/>
      <w:numFmt w:val="decimal"/>
      <w:lvlText w:val="%3)"/>
      <w:lvlJc w:val="left"/>
      <w:pPr>
        <w:ind w:left="2340" w:hanging="360"/>
      </w:pPr>
      <w:rPr>
        <w:rFonts w:ascii="Times New Roman" w:eastAsia="Times New Roman" w:hAnsi="Times New Roman" w:cs="Times New Roman"/>
      </w:rPr>
    </w:lvl>
    <w:lvl w:ilvl="3" w:tplc="FFF4F084">
      <w:start w:val="1"/>
      <w:numFmt w:val="lowerLetter"/>
      <w:lvlText w:val="%4)"/>
      <w:lvlJc w:val="left"/>
      <w:pPr>
        <w:ind w:left="2880" w:hanging="360"/>
      </w:pPr>
      <w:rPr>
        <w:rFonts w:hint="default"/>
      </w:rPr>
    </w:lvl>
    <w:lvl w:ilvl="4" w:tplc="A8E49EFC" w:tentative="1">
      <w:start w:val="1"/>
      <w:numFmt w:val="lowerLetter"/>
      <w:lvlText w:val="%5."/>
      <w:lvlJc w:val="left"/>
      <w:pPr>
        <w:ind w:left="3600" w:hanging="360"/>
      </w:pPr>
    </w:lvl>
    <w:lvl w:ilvl="5" w:tplc="B1F0F508" w:tentative="1">
      <w:start w:val="1"/>
      <w:numFmt w:val="lowerRoman"/>
      <w:lvlText w:val="%6."/>
      <w:lvlJc w:val="right"/>
      <w:pPr>
        <w:ind w:left="4320" w:hanging="180"/>
      </w:pPr>
    </w:lvl>
    <w:lvl w:ilvl="6" w:tplc="E24ADD7A" w:tentative="1">
      <w:start w:val="1"/>
      <w:numFmt w:val="decimal"/>
      <w:lvlText w:val="%7."/>
      <w:lvlJc w:val="left"/>
      <w:pPr>
        <w:ind w:left="5040" w:hanging="360"/>
      </w:pPr>
    </w:lvl>
    <w:lvl w:ilvl="7" w:tplc="0C58E01E" w:tentative="1">
      <w:start w:val="1"/>
      <w:numFmt w:val="lowerLetter"/>
      <w:lvlText w:val="%8."/>
      <w:lvlJc w:val="left"/>
      <w:pPr>
        <w:ind w:left="5760" w:hanging="360"/>
      </w:pPr>
    </w:lvl>
    <w:lvl w:ilvl="8" w:tplc="718ECC1A" w:tentative="1">
      <w:start w:val="1"/>
      <w:numFmt w:val="lowerRoman"/>
      <w:lvlText w:val="%9."/>
      <w:lvlJc w:val="right"/>
      <w:pPr>
        <w:ind w:left="6480" w:hanging="180"/>
      </w:pPr>
    </w:lvl>
  </w:abstractNum>
  <w:num w:numId="1" w16cid:durableId="1032532179">
    <w:abstractNumId w:val="5"/>
  </w:num>
  <w:num w:numId="2" w16cid:durableId="1231886131">
    <w:abstractNumId w:val="2"/>
  </w:num>
  <w:num w:numId="3" w16cid:durableId="4718743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2008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4569786">
    <w:abstractNumId w:val="4"/>
  </w:num>
  <w:num w:numId="6" w16cid:durableId="1123495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DF"/>
    <w:rsid w:val="00791FDF"/>
    <w:rsid w:val="00AB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1107"/>
  <w15:chartTrackingRefBased/>
  <w15:docId w15:val="{0B146A98-A099-4D01-859B-9C33E6F2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FDF"/>
    <w:pPr>
      <w:widowControl w:val="0"/>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651/oj/?locale=LV" TargetMode="External"/><Relationship Id="rId13" Type="http://schemas.openxmlformats.org/officeDocument/2006/relationships/hyperlink" Target="http://eur-lex.europa.eu/eli/reg/2014/717?locale=LV"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ikumi.lv/ta/id/282904" TargetMode="External"/><Relationship Id="rId12" Type="http://schemas.openxmlformats.org/officeDocument/2006/relationships/hyperlink" Target="http://eur-lex.europa.eu/eli/reg/2013/1408?locale=LV"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likumi.lv/ta/id/282904" TargetMode="External"/><Relationship Id="rId11" Type="http://schemas.openxmlformats.org/officeDocument/2006/relationships/hyperlink" Target="http://eur-lex.europa.eu/eli/reg/2013/1407?locale=LV" TargetMode="External"/><Relationship Id="rId5" Type="http://schemas.openxmlformats.org/officeDocument/2006/relationships/hyperlink" Target="http://eur-lex.europa.eu/eli/reg/2013/1407/oj/?locale=LV" TargetMode="External"/><Relationship Id="rId15" Type="http://schemas.openxmlformats.org/officeDocument/2006/relationships/theme" Target="theme/theme1.xml"/><Relationship Id="rId10" Type="http://schemas.openxmlformats.org/officeDocument/2006/relationships/hyperlink" Target="http://eur-lex.europa.eu/eli/reg/2014/651/oj/?locale=LV" TargetMode="External"/><Relationship Id="rId4" Type="http://schemas.openxmlformats.org/officeDocument/2006/relationships/webSettings" Target="webSettings.xml"/><Relationship Id="rId9" Type="http://schemas.openxmlformats.org/officeDocument/2006/relationships/hyperlink" Target="http://eur-lex.europa.eu/eli/reg/2013/1407/oj/?local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Props1.xml><?xml version="1.0" encoding="utf-8"?>
<ds:datastoreItem xmlns:ds="http://schemas.openxmlformats.org/officeDocument/2006/customXml" ds:itemID="{81AF2E60-B2B4-4608-9C66-F50A9A14E702}"/>
</file>

<file path=customXml/itemProps2.xml><?xml version="1.0" encoding="utf-8"?>
<ds:datastoreItem xmlns:ds="http://schemas.openxmlformats.org/officeDocument/2006/customXml" ds:itemID="{31BF77E9-B5C2-4C29-A7ED-2B6E070A5394}"/>
</file>

<file path=customXml/itemProps3.xml><?xml version="1.0" encoding="utf-8"?>
<ds:datastoreItem xmlns:ds="http://schemas.openxmlformats.org/officeDocument/2006/customXml" ds:itemID="{8FECFB2F-3855-4712-8A40-7E76A3A10C3B}"/>
</file>

<file path=docProps/app.xml><?xml version="1.0" encoding="utf-8"?>
<Properties xmlns="http://schemas.openxmlformats.org/officeDocument/2006/extended-properties" xmlns:vt="http://schemas.openxmlformats.org/officeDocument/2006/docPropsVTypes">
  <Template>Normal.dotm</Template>
  <TotalTime>1</TotalTime>
  <Pages>7</Pages>
  <Words>2080</Words>
  <Characters>11861</Characters>
  <Application>Microsoft Office Word</Application>
  <DocSecurity>0</DocSecurity>
  <Lines>98</Lines>
  <Paragraphs>27</Paragraphs>
  <ScaleCrop>false</ScaleCrop>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Daniela Mežavilka</dc:creator>
  <cp:keywords/>
  <dc:description/>
  <cp:lastModifiedBy>Dita Daniela Mežavilka</cp:lastModifiedBy>
  <cp:revision>1</cp:revision>
  <dcterms:created xsi:type="dcterms:W3CDTF">2022-09-21T12:03:00Z</dcterms:created>
  <dcterms:modified xsi:type="dcterms:W3CDTF">2022-09-21T12:05:00Z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ies>
</file>